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adjustRightInd w:val="0"/>
        <w:snapToGrid w:val="0"/>
        <w:spacing w:line="360" w:lineRule="auto"/>
        <w:rPr>
          <w:rFonts w:hint="eastAsia" w:ascii="黑体" w:hAnsi="黑体" w:eastAsia="黑体" w:cs="仿宋"/>
          <w:b/>
          <w:bCs w:val="0"/>
          <w:spacing w:val="-9"/>
          <w:sz w:val="32"/>
          <w:szCs w:val="32"/>
        </w:rPr>
      </w:pPr>
      <w:r>
        <w:rPr>
          <w:rFonts w:hint="eastAsia" w:ascii="黑体" w:hAnsi="黑体" w:eastAsia="黑体" w:cs="仿宋"/>
          <w:b/>
          <w:bCs w:val="0"/>
          <w:spacing w:val="-9"/>
          <w:sz w:val="32"/>
          <w:szCs w:val="32"/>
        </w:rPr>
        <w:t>附件1</w:t>
      </w:r>
    </w:p>
    <w:p>
      <w:pPr>
        <w:autoSpaceDE w:val="0"/>
        <w:autoSpaceDN w:val="0"/>
        <w:adjustRightInd w:val="0"/>
        <w:jc w:val="center"/>
        <w:rPr>
          <w:rFonts w:hint="eastAsia" w:ascii="宋体" w:hAnsi="宋体" w:eastAsia="宋体" w:cs="宋体"/>
          <w:b/>
          <w:bCs/>
          <w:color w:val="auto"/>
          <w:kern w:val="2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auto"/>
          <w:kern w:val="2"/>
          <w:sz w:val="44"/>
          <w:szCs w:val="44"/>
        </w:rPr>
        <w:t>心房颤动分级诊疗重点任务及服务流程图</w:t>
      </w:r>
    </w:p>
    <w:p>
      <w:pPr>
        <w:autoSpaceDE w:val="0"/>
        <w:autoSpaceDN w:val="0"/>
        <w:adjustRightInd w:val="0"/>
        <w:snapToGrid w:val="0"/>
        <w:spacing w:line="360" w:lineRule="auto"/>
        <w:ind w:firstLine="640" w:firstLineChars="200"/>
        <w:jc w:val="left"/>
        <w:rPr>
          <w:rFonts w:hint="eastAsia" w:ascii="黑体" w:hAnsi="黑体" w:eastAsia="黑体"/>
          <w:color w:val="000000"/>
          <w:kern w:val="0"/>
          <w:szCs w:val="32"/>
        </w:rPr>
      </w:pPr>
    </w:p>
    <w:p>
      <w:pPr>
        <w:autoSpaceDE w:val="0"/>
        <w:autoSpaceDN w:val="0"/>
        <w:adjustRightInd w:val="0"/>
        <w:snapToGrid w:val="0"/>
        <w:spacing w:line="360" w:lineRule="auto"/>
        <w:ind w:firstLine="640" w:firstLineChars="200"/>
        <w:jc w:val="left"/>
        <w:rPr>
          <w:rFonts w:ascii="黑体" w:hAnsi="黑体" w:eastAsia="黑体"/>
          <w:color w:val="000000"/>
          <w:kern w:val="0"/>
          <w:szCs w:val="32"/>
        </w:rPr>
      </w:pPr>
      <w:r>
        <w:rPr>
          <w:rFonts w:hint="eastAsia" w:ascii="黑体" w:hAnsi="黑体" w:eastAsia="黑体"/>
          <w:color w:val="000000"/>
          <w:kern w:val="0"/>
          <w:szCs w:val="32"/>
        </w:rPr>
        <w:t>一、建立心房颤动分级诊疗健康档案</w:t>
      </w:r>
    </w:p>
    <w:p>
      <w:pPr>
        <w:autoSpaceDE w:val="0"/>
        <w:autoSpaceDN w:val="0"/>
        <w:adjustRightInd w:val="0"/>
        <w:snapToGrid w:val="0"/>
        <w:spacing w:line="360" w:lineRule="auto"/>
        <w:ind w:firstLine="640" w:firstLineChars="200"/>
        <w:jc w:val="left"/>
        <w:rPr>
          <w:rFonts w:ascii="仿宋_GB2312" w:hAnsi="Times New Roman"/>
          <w:color w:val="000000"/>
          <w:kern w:val="0"/>
          <w:szCs w:val="32"/>
        </w:rPr>
      </w:pPr>
      <w:r>
        <w:rPr>
          <w:rFonts w:hint="eastAsia" w:ascii="仿宋_GB2312" w:hAnsi="Times New Roman"/>
          <w:color w:val="000000"/>
          <w:kern w:val="0"/>
          <w:szCs w:val="32"/>
        </w:rPr>
        <w:t>根据心房颤动（以下简称房颤）患病率、发病率、就诊率和分级诊疗技术方案，确定适合分级诊疗服务模式的患者，记录人口学信息和评估病情。加强信息系统建设，建立联通二级以上医院和基层医疗卫生机构的</w:t>
      </w:r>
      <w:r>
        <w:rPr>
          <w:rFonts w:ascii="仿宋_GB2312" w:hAnsi="Times New Roman"/>
          <w:color w:val="000000"/>
          <w:kern w:val="0"/>
          <w:szCs w:val="32"/>
        </w:rPr>
        <w:t>信息系统，方便查阅患者疾病相关信息</w:t>
      </w:r>
      <w:r>
        <w:rPr>
          <w:rFonts w:hint="eastAsia" w:ascii="仿宋_GB2312" w:hAnsi="Times New Roman"/>
          <w:color w:val="000000"/>
          <w:kern w:val="0"/>
          <w:szCs w:val="32"/>
        </w:rPr>
        <w:t xml:space="preserve">，逐步建立房颤相关数据库（含中医药相关数据）。 </w:t>
      </w:r>
    </w:p>
    <w:p>
      <w:pPr>
        <w:autoSpaceDE w:val="0"/>
        <w:autoSpaceDN w:val="0"/>
        <w:adjustRightInd w:val="0"/>
        <w:snapToGrid w:val="0"/>
        <w:spacing w:line="360" w:lineRule="auto"/>
        <w:ind w:firstLine="640" w:firstLineChars="200"/>
        <w:jc w:val="left"/>
        <w:rPr>
          <w:rFonts w:ascii="黑体" w:hAnsi="黑体" w:eastAsia="黑体"/>
          <w:color w:val="000000"/>
          <w:kern w:val="0"/>
          <w:szCs w:val="32"/>
        </w:rPr>
      </w:pPr>
      <w:r>
        <w:rPr>
          <w:rFonts w:hint="eastAsia" w:ascii="黑体" w:hAnsi="黑体" w:eastAsia="黑体"/>
          <w:color w:val="000000"/>
          <w:kern w:val="0"/>
          <w:szCs w:val="32"/>
        </w:rPr>
        <w:t>二、明确不同级别医疗机构的功能定位</w:t>
      </w:r>
    </w:p>
    <w:p>
      <w:pPr>
        <w:adjustRightInd w:val="0"/>
        <w:snapToGrid w:val="0"/>
        <w:spacing w:line="360" w:lineRule="auto"/>
        <w:ind w:firstLine="642" w:firstLineChars="200"/>
        <w:rPr>
          <w:rFonts w:ascii="仿宋_GB2312" w:hAnsi="Times New Roman"/>
          <w:color w:val="000000"/>
          <w:kern w:val="0"/>
          <w:szCs w:val="32"/>
        </w:rPr>
      </w:pPr>
      <w:r>
        <w:rPr>
          <w:rFonts w:hint="eastAsia" w:ascii="楷体_GB2312" w:hAnsi="Times New Roman" w:eastAsia="楷体_GB2312"/>
          <w:b/>
          <w:szCs w:val="32"/>
        </w:rPr>
        <w:t>（一）基层医疗卫生机构。</w:t>
      </w:r>
      <w:r>
        <w:rPr>
          <w:rFonts w:hint="eastAsia" w:ascii="仿宋_GB2312" w:hAnsi="仿宋_GB2312" w:cs="仿宋_GB2312"/>
          <w:bCs/>
          <w:szCs w:val="32"/>
        </w:rPr>
        <w:t>有条件的基层医疗卫生机构可开展，</w:t>
      </w:r>
      <w:r>
        <w:rPr>
          <w:rFonts w:hint="eastAsia" w:ascii="仿宋_GB2312" w:hAnsi="Times New Roman"/>
          <w:color w:val="000000"/>
          <w:kern w:val="0"/>
          <w:szCs w:val="32"/>
        </w:rPr>
        <w:t>负责房颤防治宣教、</w:t>
      </w:r>
      <w:r>
        <w:rPr>
          <w:rFonts w:ascii="仿宋_GB2312" w:hAnsi="Times New Roman"/>
          <w:color w:val="000000"/>
          <w:kern w:val="0"/>
          <w:szCs w:val="32"/>
        </w:rPr>
        <w:t>初步识别</w:t>
      </w:r>
      <w:r>
        <w:rPr>
          <w:rFonts w:hint="eastAsia" w:ascii="仿宋_GB2312" w:hAnsi="Times New Roman"/>
          <w:color w:val="000000"/>
          <w:kern w:val="0"/>
          <w:szCs w:val="32"/>
        </w:rPr>
        <w:t>、接续治疗、康复和随访。</w:t>
      </w:r>
      <w:r>
        <w:rPr>
          <w:rFonts w:hint="eastAsia" w:ascii="仿宋_GB2312" w:hAnsi="Times New Roman"/>
          <w:szCs w:val="32"/>
        </w:rPr>
        <w:t>结合上级医院已制定的诊疗方案进行规范诊治；实施随访及定期体检；实施双向转诊；建立房颤专病档案，做好信息管理工作。开展健康教育，指导患者自我健康管理。鼓励</w:t>
      </w:r>
      <w:r>
        <w:rPr>
          <w:rFonts w:hint="eastAsia" w:ascii="仿宋_GB2312" w:hAnsi="Times New Roman"/>
          <w:color w:val="000000"/>
          <w:kern w:val="0"/>
          <w:szCs w:val="32"/>
        </w:rPr>
        <w:t>参与房颤专病中心建设，与二级以上医院建立远程心电网络，进行房颤</w:t>
      </w:r>
      <w:r>
        <w:rPr>
          <w:rFonts w:ascii="仿宋_GB2312" w:hAnsi="Times New Roman"/>
          <w:color w:val="000000"/>
          <w:kern w:val="0"/>
          <w:szCs w:val="32"/>
        </w:rPr>
        <w:t>初步识别</w:t>
      </w:r>
      <w:r>
        <w:rPr>
          <w:rFonts w:hint="eastAsia" w:ascii="仿宋_GB2312" w:hAnsi="Times New Roman"/>
          <w:color w:val="000000"/>
          <w:kern w:val="0"/>
          <w:szCs w:val="32"/>
        </w:rPr>
        <w:t>。</w:t>
      </w:r>
    </w:p>
    <w:p>
      <w:pPr>
        <w:adjustRightInd w:val="0"/>
        <w:snapToGrid w:val="0"/>
        <w:spacing w:line="360" w:lineRule="auto"/>
        <w:ind w:firstLine="643" w:firstLineChars="200"/>
        <w:rPr>
          <w:rFonts w:ascii="仿宋_GB2312" w:hAnsi="Times New Roman"/>
          <w:szCs w:val="32"/>
        </w:rPr>
      </w:pPr>
      <w:r>
        <w:rPr>
          <w:rFonts w:hint="eastAsia" w:ascii="楷体_GB2312" w:hAnsi="Times New Roman" w:eastAsia="楷体_GB2312"/>
          <w:b/>
          <w:szCs w:val="32"/>
        </w:rPr>
        <w:t>（二）二级医院。</w:t>
      </w:r>
      <w:r>
        <w:rPr>
          <w:rFonts w:hint="eastAsia" w:ascii="仿宋_GB2312" w:hAnsi="仿宋_GB2312" w:cs="仿宋_GB2312"/>
          <w:bCs/>
          <w:szCs w:val="32"/>
        </w:rPr>
        <w:t>除急诊患者外，</w:t>
      </w:r>
      <w:r>
        <w:rPr>
          <w:rFonts w:hint="eastAsia" w:ascii="仿宋_GB2312" w:hAnsi="Times New Roman"/>
          <w:szCs w:val="32"/>
        </w:rPr>
        <w:t>主要为病情稳定者提供治疗、康复、随访等全程管理服务。为病情相对稳定房颤患者提供个体化规范治疗。对有严重并发症、手术适应证者，转诊至三级医疗机构。定期评估下级医疗机构的医疗质量。鼓励有条件的医院开展房颤专病中心建设，建立远程心电网络，与三级医院和基层医疗卫生机构联动，形成房颤疾病诊治网络体系。</w:t>
      </w:r>
    </w:p>
    <w:p>
      <w:pPr>
        <w:adjustRightInd w:val="0"/>
        <w:snapToGrid w:val="0"/>
        <w:spacing w:line="360" w:lineRule="auto"/>
        <w:ind w:firstLine="643" w:firstLineChars="200"/>
        <w:rPr>
          <w:rFonts w:ascii="仿宋_GB2312" w:hAnsi="Times New Roman"/>
          <w:szCs w:val="32"/>
        </w:rPr>
      </w:pPr>
      <w:r>
        <w:rPr>
          <w:rFonts w:hint="eastAsia" w:ascii="楷体_GB2312" w:hAnsi="Times New Roman" w:eastAsia="楷体_GB2312"/>
          <w:b/>
          <w:szCs w:val="32"/>
        </w:rPr>
        <w:t>（三）三级医院。</w:t>
      </w:r>
      <w:r>
        <w:rPr>
          <w:rFonts w:hint="eastAsia" w:ascii="仿宋_GB2312" w:hAnsi="Times New Roman"/>
          <w:szCs w:val="32"/>
        </w:rPr>
        <w:t>主要为有严重基础疾病及严重并发症、手术适应证的房颤患者提供诊疗服务。制定个体化的诊疗方案，将病情稳定者转至下级医院。通过医联体、远程医疗等形式，提供会诊并协助下级医院制定治疗方案。对下级医疗机构进行技术指导、业务培训和质控管理。鼓励建设房颤专病中心，建立房颤专病区域数据库，加强区域内房颤单病种管理工作。</w:t>
      </w:r>
    </w:p>
    <w:p>
      <w:pPr>
        <w:autoSpaceDE w:val="0"/>
        <w:autoSpaceDN w:val="0"/>
        <w:adjustRightInd w:val="0"/>
        <w:snapToGrid w:val="0"/>
        <w:spacing w:line="360" w:lineRule="auto"/>
        <w:ind w:firstLine="640" w:firstLineChars="200"/>
        <w:jc w:val="left"/>
        <w:rPr>
          <w:rFonts w:ascii="黑体" w:hAnsi="黑体" w:eastAsia="黑体"/>
          <w:color w:val="000000"/>
          <w:kern w:val="0"/>
          <w:szCs w:val="32"/>
        </w:rPr>
      </w:pPr>
      <w:r>
        <w:rPr>
          <w:rFonts w:hint="eastAsia" w:ascii="黑体" w:hAnsi="黑体" w:eastAsia="黑体"/>
          <w:szCs w:val="32"/>
        </w:rPr>
        <w:t>三、</w:t>
      </w:r>
      <w:r>
        <w:rPr>
          <w:rFonts w:hint="eastAsia" w:ascii="黑体" w:hAnsi="黑体" w:eastAsia="黑体"/>
          <w:color w:val="000000"/>
          <w:kern w:val="0"/>
          <w:szCs w:val="32"/>
        </w:rPr>
        <w:t>明确房颤分级诊疗服务流程</w:t>
      </w:r>
    </w:p>
    <w:p>
      <w:pPr>
        <w:autoSpaceDE w:val="0"/>
        <w:autoSpaceDN w:val="0"/>
        <w:adjustRightInd w:val="0"/>
        <w:snapToGrid w:val="0"/>
        <w:spacing w:line="360" w:lineRule="auto"/>
        <w:ind w:firstLine="643" w:firstLineChars="200"/>
        <w:jc w:val="left"/>
        <w:rPr>
          <w:rFonts w:ascii="楷体_GB2312" w:hAnsi="Times New Roman" w:eastAsia="楷体_GB2312"/>
          <w:color w:val="000000"/>
          <w:kern w:val="0"/>
          <w:szCs w:val="32"/>
        </w:rPr>
      </w:pPr>
      <w:r>
        <w:rPr>
          <w:rFonts w:hint="eastAsia" w:ascii="楷体_GB2312" w:hAnsi="Times New Roman" w:eastAsia="楷体_GB2312"/>
          <w:b/>
          <w:bCs/>
          <w:color w:val="000000"/>
          <w:kern w:val="0"/>
          <w:szCs w:val="32"/>
        </w:rPr>
        <w:t>（一）基层医疗卫生机构服务流程</w:t>
      </w:r>
      <w:r>
        <w:rPr>
          <w:rFonts w:hint="eastAsia" w:ascii="楷体_GB2312" w:hAnsi="Times New Roman" w:eastAsia="楷体_GB2312"/>
          <w:b/>
          <w:color w:val="000000"/>
          <w:kern w:val="0"/>
          <w:szCs w:val="32"/>
        </w:rPr>
        <w:t>（图1）。</w:t>
      </w:r>
    </w:p>
    <w:p>
      <w:pPr>
        <w:autoSpaceDE w:val="0"/>
        <w:autoSpaceDN w:val="0"/>
        <w:adjustRightInd w:val="0"/>
        <w:snapToGrid w:val="0"/>
        <w:spacing w:line="360" w:lineRule="auto"/>
        <w:ind w:firstLine="640" w:firstLineChars="200"/>
        <w:jc w:val="both"/>
        <w:rPr>
          <w:rFonts w:ascii="仿宋_GB2312" w:hAnsi="Times New Roman"/>
          <w:color w:val="000000"/>
          <w:kern w:val="0"/>
          <w:szCs w:val="32"/>
        </w:rPr>
      </w:pPr>
      <w:r>
        <w:rPr>
          <w:rFonts w:hint="eastAsia" w:ascii="仿宋_GB2312" w:hAnsi="Times New Roman"/>
          <w:color w:val="000000"/>
          <w:kern w:val="0"/>
          <w:szCs w:val="32"/>
        </w:rPr>
        <w:t>签约服务流程：接诊患者并进行初步</w:t>
      </w:r>
      <w:r>
        <w:rPr>
          <w:rFonts w:ascii="仿宋_GB2312" w:hAnsi="Times New Roman"/>
          <w:color w:val="000000"/>
          <w:kern w:val="0"/>
          <w:szCs w:val="32"/>
        </w:rPr>
        <w:t>识别</w:t>
      </w:r>
      <w:r>
        <w:rPr>
          <w:rFonts w:hint="eastAsia" w:ascii="仿宋_GB2312" w:hAnsi="Times New Roman"/>
          <w:color w:val="000000"/>
          <w:kern w:val="0"/>
          <w:szCs w:val="32"/>
        </w:rPr>
        <w:t xml:space="preserve">→判断是否能够纳入分级诊疗服务→对可以纳入分级诊疗服务的，经患者知情同意后签约→建立房颤专病档案→在诊疗能力范围内的，为患者制定治疗方案→按签约内容开展日常体检、康复及健康管理。 </w:t>
      </w:r>
    </w:p>
    <w:p>
      <w:pPr>
        <w:autoSpaceDE w:val="0"/>
        <w:autoSpaceDN w:val="0"/>
        <w:adjustRightInd w:val="0"/>
        <w:snapToGrid w:val="0"/>
        <w:spacing w:line="360" w:lineRule="auto"/>
        <w:ind w:firstLine="640" w:firstLineChars="200"/>
        <w:jc w:val="both"/>
        <w:rPr>
          <w:rFonts w:ascii="仿宋_GB2312" w:hAnsi="Times New Roman"/>
          <w:color w:val="000000"/>
          <w:kern w:val="0"/>
          <w:szCs w:val="32"/>
        </w:rPr>
      </w:pPr>
      <w:r>
        <w:rPr>
          <w:rFonts w:hint="eastAsia" w:ascii="仿宋_GB2312" w:hAnsi="Times New Roman"/>
          <w:color w:val="000000"/>
          <w:kern w:val="0"/>
          <w:szCs w:val="32"/>
        </w:rPr>
        <w:t>上转患者流程：全科医生判断患者符合转诊标准→转诊前与患者和/或家属充分沟通→根据患者病情确定上转医院层级→联系二级及以上医院→二级及以上医院专科医师确定患者确需上转→全科医生开具转诊单、通过信息</w:t>
      </w:r>
      <w:r>
        <w:rPr>
          <w:rFonts w:ascii="仿宋_GB2312" w:hAnsi="Times New Roman"/>
          <w:color w:val="000000"/>
          <w:kern w:val="0"/>
          <w:szCs w:val="32"/>
        </w:rPr>
        <w:t>技术</w:t>
      </w:r>
      <w:r>
        <w:rPr>
          <w:rFonts w:hint="eastAsia" w:ascii="仿宋_GB2312" w:hAnsi="Times New Roman"/>
          <w:color w:val="000000"/>
          <w:kern w:val="0"/>
          <w:szCs w:val="32"/>
        </w:rPr>
        <w:t xml:space="preserve">与上转医院共享患者相关信息→将患者上转至二级及以上医院。 </w:t>
      </w:r>
    </w:p>
    <w:p>
      <w:pPr>
        <w:autoSpaceDE w:val="0"/>
        <w:autoSpaceDN w:val="0"/>
        <w:adjustRightInd w:val="0"/>
        <w:snapToGrid w:val="0"/>
        <w:spacing w:line="360" w:lineRule="auto"/>
        <w:rPr>
          <w:rFonts w:ascii="楷体_GB2312" w:hAnsi="Times New Roman" w:eastAsia="楷体_GB2312"/>
          <w:b/>
          <w:bCs/>
          <w:color w:val="000000"/>
          <w:kern w:val="0"/>
          <w:szCs w:val="32"/>
        </w:rPr>
      </w:pPr>
      <w:r>
        <w:rPr>
          <w:rFonts w:ascii="Times New Roman" w:hAnsi="Times New Roman"/>
        </w:rPr>
        <w:drawing>
          <wp:inline distT="0" distB="0" distL="114300" distR="114300">
            <wp:extent cx="5274945" cy="1936750"/>
            <wp:effectExtent l="0" t="0" r="1905" b="635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945" cy="193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autoSpaceDE w:val="0"/>
        <w:autoSpaceDN w:val="0"/>
        <w:adjustRightInd w:val="0"/>
        <w:snapToGrid w:val="0"/>
        <w:spacing w:line="360" w:lineRule="auto"/>
        <w:jc w:val="center"/>
        <w:rPr>
          <w:rFonts w:ascii="仿宋_GB2312" w:hAnsi="Times New Roman"/>
          <w:bCs/>
          <w:color w:val="000000"/>
          <w:kern w:val="0"/>
          <w:szCs w:val="32"/>
        </w:rPr>
      </w:pPr>
      <w:r>
        <w:rPr>
          <w:rFonts w:hint="eastAsia" w:ascii="仿宋_GB2312" w:hAnsi="Times New Roman"/>
          <w:bCs/>
          <w:color w:val="000000"/>
          <w:kern w:val="0"/>
          <w:szCs w:val="32"/>
        </w:rPr>
        <w:t>图1.基层医疗卫生机构分级诊疗服务流程</w:t>
      </w:r>
    </w:p>
    <w:p>
      <w:pPr>
        <w:autoSpaceDE w:val="0"/>
        <w:autoSpaceDN w:val="0"/>
        <w:adjustRightInd w:val="0"/>
        <w:snapToGrid w:val="0"/>
        <w:spacing w:line="360" w:lineRule="auto"/>
        <w:ind w:firstLine="643" w:firstLineChars="200"/>
        <w:jc w:val="left"/>
        <w:rPr>
          <w:rFonts w:ascii="楷体_GB2312" w:hAnsi="Times New Roman" w:eastAsia="楷体_GB2312"/>
          <w:color w:val="000000"/>
          <w:kern w:val="0"/>
          <w:szCs w:val="32"/>
        </w:rPr>
      </w:pPr>
      <w:r>
        <w:rPr>
          <w:rFonts w:hint="eastAsia" w:ascii="楷体_GB2312" w:hAnsi="Times New Roman" w:eastAsia="楷体_GB2312"/>
          <w:b/>
          <w:bCs/>
          <w:color w:val="000000"/>
          <w:kern w:val="0"/>
          <w:szCs w:val="32"/>
        </w:rPr>
        <w:t>（二）二级医院服务流程</w:t>
      </w:r>
      <w:r>
        <w:rPr>
          <w:rFonts w:hint="eastAsia" w:ascii="楷体_GB2312" w:hAnsi="Times New Roman" w:eastAsia="楷体_GB2312"/>
          <w:b/>
          <w:color w:val="000000"/>
          <w:kern w:val="0"/>
          <w:szCs w:val="32"/>
        </w:rPr>
        <w:t>（图2）。</w:t>
      </w:r>
    </w:p>
    <w:p>
      <w:pPr>
        <w:autoSpaceDE w:val="0"/>
        <w:autoSpaceDN w:val="0"/>
        <w:adjustRightInd w:val="0"/>
        <w:snapToGrid w:val="0"/>
        <w:spacing w:line="360" w:lineRule="auto"/>
        <w:ind w:firstLine="640" w:firstLineChars="200"/>
        <w:jc w:val="both"/>
        <w:rPr>
          <w:rFonts w:ascii="仿宋_GB2312" w:hAnsi="Times New Roman"/>
          <w:color w:val="000000"/>
          <w:kern w:val="0"/>
          <w:szCs w:val="32"/>
        </w:rPr>
      </w:pPr>
      <w:r>
        <w:rPr>
          <w:rFonts w:hint="eastAsia" w:ascii="仿宋_GB2312" w:hAnsi="Times New Roman"/>
          <w:color w:val="000000"/>
          <w:kern w:val="0"/>
          <w:szCs w:val="32"/>
        </w:rPr>
        <w:t>初诊患者流程：接诊患者并进行诊断→制定治疗方案→给患者积极治疗→患者病情稳定，判断是否能够纳入分级诊疗服务→可以纳入分级诊疗服务的患者转至基层就诊/三级医院→定期/不定期派内科医师到基层医疗卫生机构指导诊疗，对分级诊疗服务质量进行评估。</w:t>
      </w:r>
    </w:p>
    <w:p>
      <w:pPr>
        <w:autoSpaceDE w:val="0"/>
        <w:autoSpaceDN w:val="0"/>
        <w:adjustRightInd w:val="0"/>
        <w:snapToGrid w:val="0"/>
        <w:spacing w:line="360" w:lineRule="auto"/>
        <w:ind w:firstLine="640" w:firstLineChars="200"/>
        <w:jc w:val="both"/>
        <w:rPr>
          <w:rFonts w:ascii="仿宋_GB2312" w:hAnsi="Times New Roman"/>
          <w:color w:val="000000"/>
          <w:kern w:val="0"/>
          <w:szCs w:val="32"/>
        </w:rPr>
      </w:pPr>
      <w:r>
        <w:rPr>
          <w:rFonts w:hint="eastAsia" w:ascii="仿宋_GB2312" w:hAnsi="Times New Roman"/>
          <w:color w:val="000000"/>
          <w:kern w:val="0"/>
          <w:szCs w:val="32"/>
        </w:rPr>
        <w:t>接诊上转患者及下转流程：接诊患者并进行诊断→制定治疗方案→患者经治疗稳定、符合下转标准→转诊前与患者和/或家属充分沟通→联系基层医疗卫生机构→专科医生开具转诊单、通过信息</w:t>
      </w:r>
      <w:r>
        <w:rPr>
          <w:rFonts w:ascii="仿宋_GB2312" w:hAnsi="Times New Roman"/>
          <w:color w:val="000000"/>
          <w:kern w:val="0"/>
          <w:szCs w:val="32"/>
        </w:rPr>
        <w:t>技术</w:t>
      </w:r>
      <w:r>
        <w:rPr>
          <w:rFonts w:hint="eastAsia" w:ascii="仿宋_GB2312" w:hAnsi="Times New Roman"/>
          <w:color w:val="000000"/>
          <w:kern w:val="0"/>
          <w:szCs w:val="32"/>
        </w:rPr>
        <w:t xml:space="preserve">与下转医院共享患者相关信息→将患者下转至基层医疗卫生机构。 </w:t>
      </w:r>
    </w:p>
    <w:p>
      <w:pPr>
        <w:autoSpaceDE w:val="0"/>
        <w:autoSpaceDN w:val="0"/>
        <w:adjustRightInd w:val="0"/>
        <w:snapToGrid w:val="0"/>
        <w:spacing w:line="360" w:lineRule="auto"/>
        <w:ind w:firstLine="640" w:firstLineChars="200"/>
        <w:jc w:val="left"/>
        <w:rPr>
          <w:rFonts w:ascii="楷体_GB2312" w:hAnsi="Times New Roman" w:eastAsia="楷体_GB2312"/>
          <w:b/>
          <w:bCs/>
          <w:color w:val="000000"/>
          <w:kern w:val="0"/>
          <w:szCs w:val="32"/>
        </w:rPr>
      </w:pPr>
      <w:r>
        <w:rPr>
          <w:rFonts w:ascii="Times New Roman" w:hAnsi="Times New Roman"/>
        </w:rPr>
        <w:drawing>
          <wp:inline distT="0" distB="0" distL="114300" distR="114300">
            <wp:extent cx="4862195" cy="971550"/>
            <wp:effectExtent l="0" t="0" r="1460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6219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autoSpaceDE w:val="0"/>
        <w:autoSpaceDN w:val="0"/>
        <w:adjustRightInd w:val="0"/>
        <w:snapToGrid w:val="0"/>
        <w:spacing w:line="360" w:lineRule="auto"/>
        <w:jc w:val="center"/>
        <w:rPr>
          <w:rFonts w:ascii="仿宋_GB2312" w:hAnsi="Times New Roman"/>
          <w:bCs/>
          <w:color w:val="000000"/>
          <w:kern w:val="0"/>
          <w:szCs w:val="32"/>
        </w:rPr>
      </w:pPr>
      <w:r>
        <w:rPr>
          <w:rFonts w:hint="eastAsia" w:ascii="仿宋_GB2312" w:hAnsi="Times New Roman"/>
          <w:bCs/>
          <w:color w:val="000000"/>
          <w:kern w:val="0"/>
          <w:szCs w:val="32"/>
        </w:rPr>
        <w:t>图2.二级医院分级诊疗服务流程</w:t>
      </w:r>
    </w:p>
    <w:p>
      <w:pPr>
        <w:autoSpaceDE w:val="0"/>
        <w:autoSpaceDN w:val="0"/>
        <w:adjustRightInd w:val="0"/>
        <w:snapToGrid w:val="0"/>
        <w:spacing w:line="360" w:lineRule="auto"/>
        <w:ind w:firstLine="643" w:firstLineChars="200"/>
        <w:jc w:val="left"/>
        <w:rPr>
          <w:rFonts w:ascii="楷体_GB2312" w:hAnsi="Times New Roman" w:eastAsia="楷体_GB2312"/>
          <w:b/>
          <w:color w:val="000000"/>
          <w:kern w:val="0"/>
          <w:szCs w:val="32"/>
        </w:rPr>
      </w:pPr>
      <w:r>
        <w:rPr>
          <w:rFonts w:hint="eastAsia" w:ascii="楷体_GB2312" w:hAnsi="Times New Roman" w:eastAsia="楷体_GB2312"/>
          <w:b/>
          <w:bCs/>
          <w:color w:val="000000"/>
          <w:kern w:val="0"/>
          <w:szCs w:val="32"/>
        </w:rPr>
        <w:t>（三）三级医院服务流程</w:t>
      </w:r>
      <w:r>
        <w:rPr>
          <w:rFonts w:hint="eastAsia" w:ascii="楷体_GB2312" w:hAnsi="Times New Roman" w:eastAsia="楷体_GB2312"/>
          <w:b/>
          <w:color w:val="000000"/>
          <w:kern w:val="0"/>
          <w:szCs w:val="32"/>
        </w:rPr>
        <w:t>（图3）。</w:t>
      </w:r>
    </w:p>
    <w:p>
      <w:pPr>
        <w:autoSpaceDE w:val="0"/>
        <w:autoSpaceDN w:val="0"/>
        <w:adjustRightInd w:val="0"/>
        <w:snapToGrid w:val="0"/>
        <w:spacing w:line="360" w:lineRule="auto"/>
        <w:ind w:firstLine="640" w:firstLineChars="200"/>
        <w:jc w:val="left"/>
        <w:rPr>
          <w:rFonts w:ascii="仿宋_GB2312" w:hAnsi="Times New Roman"/>
          <w:color w:val="000000"/>
          <w:kern w:val="0"/>
          <w:szCs w:val="32"/>
        </w:rPr>
      </w:pPr>
      <w:r>
        <w:rPr>
          <w:rFonts w:hint="eastAsia" w:ascii="仿宋_GB2312" w:hAnsi="Times New Roman"/>
          <w:color w:val="000000"/>
          <w:kern w:val="0"/>
          <w:szCs w:val="32"/>
        </w:rPr>
        <w:t>初诊患者流程：接诊患者并进行诊断→制定治疗方案→给患者积极治疗→患者病情稳定，判断是否能够纳入分级诊疗服务→可以纳入分级诊疗服务的患者转至二级/基层医疗机构就诊→定期/不定期派专科医师到二级/基层医疗机构指导诊疗，对分级诊疗服务质量进行评估。</w:t>
      </w:r>
    </w:p>
    <w:p>
      <w:pPr>
        <w:autoSpaceDE w:val="0"/>
        <w:autoSpaceDN w:val="0"/>
        <w:adjustRightInd w:val="0"/>
        <w:snapToGrid w:val="0"/>
        <w:spacing w:line="360" w:lineRule="auto"/>
        <w:ind w:firstLine="640" w:firstLineChars="200"/>
        <w:jc w:val="left"/>
        <w:rPr>
          <w:rFonts w:ascii="仿宋_GB2312" w:hAnsi="Times New Roman"/>
          <w:color w:val="000000"/>
          <w:kern w:val="0"/>
          <w:szCs w:val="32"/>
        </w:rPr>
      </w:pPr>
      <w:r>
        <w:rPr>
          <w:rFonts w:hint="eastAsia" w:ascii="仿宋_GB2312" w:hAnsi="Times New Roman"/>
          <w:color w:val="000000"/>
          <w:kern w:val="0"/>
          <w:szCs w:val="32"/>
        </w:rPr>
        <w:t>接诊上转患者及下转流程：接诊患者并进行诊断→制定治疗方案→患者经治疗稳定、符合下转标准→转诊前与患者和/或家属充分沟通→联系二级/基层医疗卫生机构→专科医生开具转诊单、通过信息</w:t>
      </w:r>
      <w:r>
        <w:rPr>
          <w:rFonts w:ascii="仿宋_GB2312" w:hAnsi="Times New Roman"/>
          <w:color w:val="000000"/>
          <w:kern w:val="0"/>
          <w:szCs w:val="32"/>
        </w:rPr>
        <w:t>技术</w:t>
      </w:r>
      <w:r>
        <w:rPr>
          <w:rFonts w:hint="eastAsia" w:ascii="仿宋_GB2312" w:hAnsi="Times New Roman"/>
          <w:color w:val="000000"/>
          <w:kern w:val="0"/>
          <w:szCs w:val="32"/>
        </w:rPr>
        <w:t xml:space="preserve">与下转医院共享患者相关信息→将患者下转至二级/基层医疗机构。 </w:t>
      </w:r>
    </w:p>
    <w:p>
      <w:pPr>
        <w:adjustRightInd w:val="0"/>
        <w:snapToGrid w:val="0"/>
        <w:spacing w:before="217" w:beforeLines="50" w:after="217" w:afterLines="50" w:line="360" w:lineRule="auto"/>
        <w:jc w:val="center"/>
        <w:rPr>
          <w:rFonts w:ascii="Times New Roman" w:hAnsi="Times New Roman"/>
          <w:color w:val="000000"/>
          <w:kern w:val="0"/>
          <w:sz w:val="24"/>
        </w:rPr>
      </w:pPr>
      <w:r>
        <w:rPr>
          <w:rFonts w:ascii="Times New Roman" w:hAnsi="Times New Roman"/>
          <w:color w:val="000000"/>
          <w:kern w:val="0"/>
          <w:sz w:val="24"/>
        </w:rPr>
        <w:drawing>
          <wp:inline distT="0" distB="0" distL="114300" distR="114300">
            <wp:extent cx="4859655" cy="911225"/>
            <wp:effectExtent l="0" t="0" r="17145" b="317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59655" cy="91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  <w:r>
        <w:rPr>
          <w:rFonts w:hint="eastAsia" w:ascii="仿宋_GB2312" w:hAnsi="Times New Roman"/>
          <w:color w:val="000000"/>
          <w:kern w:val="0"/>
          <w:szCs w:val="32"/>
        </w:rPr>
        <w:t>图3.三级医院分级诊疗服务流程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swiss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swiss"/>
    <w:pitch w:val="default"/>
    <w:sig w:usb0="00000000" w:usb1="00000000" w:usb2="00000016" w:usb3="00000000" w:csb0="00040001" w:csb1="00000000"/>
  </w:font>
  <w:font w:name="FZSSK--GBK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ZHTK--GBK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E-HZ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1"/>
    <w:family w:val="roma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decorative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decorative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decorative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995293"/>
    <w:rsid w:val="2699529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2019-09-10T03:27:00Z</dcterms:created>
  <dc:creator>Administrator</dc:creator>
  <cp:lastModifiedBy>Administrator</cp:lastModifiedBy>
  <dcterms:modified xsi:type="dcterms:W3CDTF">2019-09-10T03:28:50Z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