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AD" w:rsidRDefault="002B56DA">
      <w:pPr>
        <w:rPr>
          <w:rFonts w:ascii="黑体" w:eastAsia="黑体" w:hAnsi="黑体"/>
          <w:sz w:val="28"/>
          <w:szCs w:val="28"/>
        </w:rPr>
      </w:pPr>
      <w:r>
        <w:rPr>
          <w:rFonts w:ascii="黑体" w:eastAsia="黑体" w:hAnsi="黑体" w:hint="eastAsia"/>
          <w:sz w:val="28"/>
          <w:szCs w:val="28"/>
        </w:rPr>
        <w:t>附件2</w:t>
      </w:r>
    </w:p>
    <w:p w:rsidR="00654FAD" w:rsidRDefault="002B56DA">
      <w:pPr>
        <w:autoSpaceDE w:val="0"/>
        <w:autoSpaceDN w:val="0"/>
        <w:adjustRightInd w:val="0"/>
        <w:jc w:val="center"/>
        <w:rPr>
          <w:rFonts w:ascii="宋体" w:eastAsia="宋体" w:hAnsi="宋体" w:cs="宋体"/>
          <w:color w:val="000000"/>
          <w:kern w:val="0"/>
          <w:sz w:val="44"/>
          <w:szCs w:val="44"/>
        </w:rPr>
      </w:pPr>
      <w:r>
        <w:rPr>
          <w:rFonts w:ascii="宋体" w:eastAsia="宋体" w:hAnsi="宋体" w:cs="宋体" w:hint="eastAsia"/>
          <w:b/>
          <w:bCs/>
          <w:color w:val="000000"/>
          <w:kern w:val="0"/>
          <w:sz w:val="44"/>
          <w:szCs w:val="44"/>
        </w:rPr>
        <w:t>心房颤动分级诊疗服务技术方案</w:t>
      </w:r>
    </w:p>
    <w:p w:rsidR="00654FAD" w:rsidRDefault="00654FAD">
      <w:pPr>
        <w:autoSpaceDE w:val="0"/>
        <w:autoSpaceDN w:val="0"/>
        <w:adjustRightInd w:val="0"/>
        <w:snapToGrid w:val="0"/>
        <w:spacing w:line="360" w:lineRule="auto"/>
        <w:ind w:firstLineChars="200" w:firstLine="640"/>
        <w:rPr>
          <w:rFonts w:ascii="仿宋_GB2312" w:hAnsi="Times New Roman"/>
          <w:color w:val="000000"/>
          <w:kern w:val="0"/>
          <w:szCs w:val="32"/>
        </w:rPr>
      </w:pPr>
    </w:p>
    <w:p w:rsidR="00654FAD" w:rsidRDefault="002B56DA">
      <w:pPr>
        <w:autoSpaceDE w:val="0"/>
        <w:autoSpaceDN w:val="0"/>
        <w:adjustRightInd w:val="0"/>
        <w:snapToGrid w:val="0"/>
        <w:spacing w:line="360" w:lineRule="auto"/>
        <w:ind w:firstLineChars="200" w:firstLine="640"/>
        <w:rPr>
          <w:rFonts w:ascii="黑体" w:eastAsia="黑体" w:hAnsi="黑体"/>
          <w:color w:val="000000"/>
          <w:kern w:val="0"/>
          <w:szCs w:val="32"/>
        </w:rPr>
      </w:pPr>
      <w:r>
        <w:rPr>
          <w:rFonts w:ascii="仿宋_GB2312" w:hAnsi="Times New Roman" w:hint="eastAsia"/>
          <w:color w:val="000000"/>
          <w:kern w:val="0"/>
          <w:szCs w:val="32"/>
        </w:rPr>
        <w:t>心房颤动（以下简称房颤）是</w:t>
      </w:r>
      <w:r>
        <w:rPr>
          <w:rFonts w:ascii="仿宋_GB2312" w:hAnsi="Times New Roman" w:hint="eastAsia"/>
          <w:color w:val="000000"/>
          <w:szCs w:val="32"/>
        </w:rPr>
        <w:t>一种以快速、无序心房电活动为特征的室上性快速性心律失常</w:t>
      </w:r>
      <w:r>
        <w:rPr>
          <w:rFonts w:ascii="仿宋_GB2312" w:hAnsi="Times New Roman" w:hint="eastAsia"/>
          <w:color w:val="000000"/>
          <w:kern w:val="0"/>
          <w:szCs w:val="32"/>
        </w:rPr>
        <w:t>。</w:t>
      </w:r>
      <w:r>
        <w:rPr>
          <w:rFonts w:ascii="仿宋_GB2312" w:hAnsi="Times New Roman" w:hint="eastAsia"/>
          <w:color w:val="000000"/>
          <w:szCs w:val="32"/>
        </w:rPr>
        <w:t>心房因无序电活动而失去有效收缩，导致心脏泵血功能下降，心房内附壁血栓形成</w:t>
      </w:r>
      <w:r>
        <w:rPr>
          <w:rFonts w:ascii="仿宋_GB2312" w:hAnsi="Times New Roman" w:hint="eastAsia"/>
          <w:color w:val="000000"/>
          <w:kern w:val="0"/>
          <w:szCs w:val="32"/>
        </w:rPr>
        <w:t>，是心力衰竭、缺血性脑卒中等疾病的重要原因。房颤致残率、致死率高，严重影响患者的生活质量，是心血管病患者住院和死亡的常见原因，给家庭和社会带来了沉重负担。对房颤患者早期发现、早期治疗、全程规范管理，可改善患者的生存质量，降低住院率和死亡率。</w:t>
      </w:r>
    </w:p>
    <w:p w:rsidR="00654FAD" w:rsidRDefault="002B56DA">
      <w:pPr>
        <w:autoSpaceDE w:val="0"/>
        <w:autoSpaceDN w:val="0"/>
        <w:adjustRightInd w:val="0"/>
        <w:snapToGrid w:val="0"/>
        <w:spacing w:line="360" w:lineRule="auto"/>
        <w:ind w:firstLineChars="200" w:firstLine="640"/>
        <w:rPr>
          <w:rFonts w:ascii="黑体" w:eastAsia="黑体" w:hAnsi="黑体"/>
          <w:color w:val="000000"/>
          <w:kern w:val="0"/>
          <w:szCs w:val="32"/>
        </w:rPr>
      </w:pPr>
      <w:r>
        <w:rPr>
          <w:rFonts w:ascii="黑体" w:eastAsia="黑体" w:hAnsi="黑体" w:hint="eastAsia"/>
          <w:color w:val="000000"/>
          <w:kern w:val="0"/>
          <w:szCs w:val="32"/>
        </w:rPr>
        <w:t>一、我国房颤的现状</w:t>
      </w:r>
    </w:p>
    <w:p w:rsidR="00654FAD" w:rsidRDefault="002B56DA">
      <w:pPr>
        <w:autoSpaceDE w:val="0"/>
        <w:autoSpaceDN w:val="0"/>
        <w:adjustRightInd w:val="0"/>
        <w:snapToGrid w:val="0"/>
        <w:spacing w:line="360" w:lineRule="auto"/>
        <w:ind w:firstLineChars="200" w:firstLine="640"/>
        <w:rPr>
          <w:color w:val="000000"/>
          <w:kern w:val="0"/>
          <w:szCs w:val="32"/>
        </w:rPr>
      </w:pPr>
      <w:r>
        <w:rPr>
          <w:rFonts w:ascii="仿宋_GB2312" w:hAnsi="Times New Roman" w:hint="eastAsia"/>
          <w:color w:val="000000"/>
          <w:kern w:val="0"/>
          <w:szCs w:val="32"/>
        </w:rPr>
        <w:t>2004年流行病学调查显示，我国30-85岁人群中房颤患病率为0.65%，并随年龄增长而显著增加，在80岁以上人群中患病率高达7.5%。有资料显示，房颤致残率高，男性为64.5/10万，女性为45.9/10万，并导致女性、男性全因死亡率分别增加2倍</w:t>
      </w:r>
      <w:r>
        <w:rPr>
          <w:rFonts w:hint="eastAsia"/>
          <w:color w:val="000000"/>
          <w:kern w:val="0"/>
          <w:szCs w:val="32"/>
        </w:rPr>
        <w:t>、</w:t>
      </w:r>
      <w:r>
        <w:rPr>
          <w:rFonts w:ascii="仿宋_GB2312" w:hAnsi="Times New Roman" w:hint="eastAsia"/>
          <w:color w:val="000000"/>
          <w:kern w:val="0"/>
          <w:szCs w:val="32"/>
        </w:rPr>
        <w:t>1.5倍。目前，我国房颤规范化治疗率低，区域协同诊疗体系尚未建立。科学地推进分级诊疗，为房颤患者提供规范、有效的全程管理，对保障患者健康权益具有重要意义。</w:t>
      </w:r>
    </w:p>
    <w:p w:rsidR="00654FAD" w:rsidRDefault="002B56DA">
      <w:pPr>
        <w:autoSpaceDE w:val="0"/>
        <w:autoSpaceDN w:val="0"/>
        <w:adjustRightInd w:val="0"/>
        <w:snapToGrid w:val="0"/>
        <w:spacing w:line="360" w:lineRule="auto"/>
        <w:ind w:firstLineChars="200" w:firstLine="640"/>
        <w:rPr>
          <w:rFonts w:ascii="黑体" w:eastAsia="黑体" w:hAnsi="黑体"/>
          <w:color w:val="000000"/>
          <w:kern w:val="0"/>
          <w:szCs w:val="32"/>
        </w:rPr>
      </w:pPr>
      <w:r>
        <w:rPr>
          <w:rFonts w:ascii="黑体" w:eastAsia="黑体" w:hAnsi="黑体" w:hint="eastAsia"/>
          <w:color w:val="000000"/>
          <w:kern w:val="0"/>
          <w:szCs w:val="32"/>
        </w:rPr>
        <w:t>二、房颤分级诊疗服务目标、路径与双向转诊标准</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楷体_GB2312" w:eastAsia="楷体_GB2312" w:hAnsi="Times New Roman" w:hint="eastAsia"/>
          <w:b/>
          <w:bCs/>
          <w:color w:val="000000"/>
          <w:kern w:val="0"/>
          <w:szCs w:val="32"/>
        </w:rPr>
        <w:t>（一）目标。</w:t>
      </w:r>
      <w:r>
        <w:rPr>
          <w:rFonts w:ascii="仿宋_GB2312" w:hAnsi="Times New Roman" w:hint="eastAsia"/>
          <w:color w:val="000000"/>
          <w:kern w:val="0"/>
          <w:szCs w:val="32"/>
        </w:rPr>
        <w:t>引导医疗机构落实功能定位，充分发挥</w:t>
      </w:r>
      <w:r>
        <w:rPr>
          <w:rFonts w:ascii="仿宋_GB2312" w:hAnsi="Times New Roman"/>
          <w:color w:val="000000"/>
          <w:kern w:val="0"/>
          <w:szCs w:val="32"/>
        </w:rPr>
        <w:t>不</w:t>
      </w:r>
      <w:r>
        <w:rPr>
          <w:rFonts w:ascii="仿宋_GB2312" w:hAnsi="Times New Roman"/>
          <w:color w:val="000000"/>
          <w:kern w:val="0"/>
          <w:szCs w:val="32"/>
        </w:rPr>
        <w:lastRenderedPageBreak/>
        <w:t>同类别、</w:t>
      </w:r>
      <w:r>
        <w:rPr>
          <w:rFonts w:ascii="仿宋_GB2312" w:hAnsi="Times New Roman" w:hint="eastAsia"/>
          <w:color w:val="000000"/>
          <w:kern w:val="0"/>
          <w:szCs w:val="32"/>
        </w:rPr>
        <w:t>不同级别医疗机构的协同作用，规范房颤患者临床诊疗行为，加强对房颤患者全程管理，改善房颤患者预后。</w:t>
      </w:r>
    </w:p>
    <w:p w:rsidR="00654FAD" w:rsidRDefault="002B56DA">
      <w:pPr>
        <w:autoSpaceDE w:val="0"/>
        <w:autoSpaceDN w:val="0"/>
        <w:adjustRightInd w:val="0"/>
        <w:snapToGrid w:val="0"/>
        <w:spacing w:line="360" w:lineRule="auto"/>
        <w:ind w:firstLineChars="200" w:firstLine="643"/>
        <w:rPr>
          <w:rFonts w:ascii="楷体_GB2312" w:eastAsia="楷体_GB2312" w:hAnsi="Times New Roman"/>
          <w:color w:val="000000"/>
          <w:kern w:val="0"/>
          <w:szCs w:val="32"/>
        </w:rPr>
      </w:pPr>
      <w:r>
        <w:rPr>
          <w:rFonts w:ascii="楷体_GB2312" w:eastAsia="楷体_GB2312" w:hAnsi="Times New Roman" w:hint="eastAsia"/>
          <w:b/>
          <w:bCs/>
          <w:color w:val="000000"/>
          <w:kern w:val="0"/>
          <w:szCs w:val="32"/>
        </w:rPr>
        <w:t>（二）医疗机构功能定位</w:t>
      </w:r>
      <w:r>
        <w:rPr>
          <w:rFonts w:ascii="楷体_GB2312" w:eastAsia="楷体_GB2312" w:hAnsi="Times New Roman" w:hint="eastAsia"/>
          <w:color w:val="000000"/>
          <w:kern w:val="0"/>
          <w:szCs w:val="32"/>
        </w:rPr>
        <w:t>。</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color w:val="000000"/>
          <w:kern w:val="0"/>
          <w:szCs w:val="32"/>
        </w:rPr>
        <w:t>1.三级医院。</w:t>
      </w:r>
      <w:r>
        <w:rPr>
          <w:rFonts w:ascii="仿宋_GB2312" w:hAnsi="Times New Roman" w:hint="eastAsia"/>
          <w:color w:val="000000"/>
          <w:kern w:val="0"/>
          <w:szCs w:val="32"/>
        </w:rPr>
        <w:t>主要为有严重基础疾病及严重并发症、手术适应证的房颤患者提供诊疗服务。制定个体化的诊疗方案，将病情稳定者转至下级医院。通过医联体、远程医疗等形式，提供会诊并协助下级医院制定治疗方案。对下级医疗机构进行技术指导、业务培训和质控管理。鼓励建设房颤专病中心，建立房颤专病区域数据库，加强区域内房颤单病种管理工作。</w:t>
      </w:r>
    </w:p>
    <w:p w:rsidR="00654FAD" w:rsidRDefault="002B56DA">
      <w:pPr>
        <w:adjustRightInd w:val="0"/>
        <w:snapToGrid w:val="0"/>
        <w:spacing w:line="360" w:lineRule="auto"/>
        <w:ind w:firstLineChars="200" w:firstLine="643"/>
        <w:rPr>
          <w:rFonts w:ascii="仿宋_GB2312" w:hAnsi="Times New Roman"/>
          <w:szCs w:val="32"/>
        </w:rPr>
      </w:pPr>
      <w:r>
        <w:rPr>
          <w:rFonts w:ascii="仿宋_GB2312" w:hAnsi="Times New Roman" w:hint="eastAsia"/>
          <w:b/>
          <w:szCs w:val="32"/>
        </w:rPr>
        <w:t>2.二级医院。</w:t>
      </w:r>
      <w:r>
        <w:rPr>
          <w:rFonts w:ascii="仿宋_GB2312" w:hAnsi="Times New Roman" w:hint="eastAsia"/>
          <w:szCs w:val="32"/>
        </w:rPr>
        <w:t>主要为病情稳定者提供治疗、康复、随访等全程管理服务。为病情相对稳定的房颤患者提供个体化的规范治疗。对有严重并发症、手术适应证者，转诊至三级医疗机构。定期评估下级医疗机构的医疗质量。鼓励有条件的医院开展房颤专病中心建设，建立远程心电网络，与三级医院和基层医疗卫生机构联动，形成房颤疾病诊治网络体系。</w:t>
      </w:r>
    </w:p>
    <w:p w:rsidR="00654FAD" w:rsidRDefault="002B56DA">
      <w:pPr>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szCs w:val="32"/>
        </w:rPr>
        <w:t>3.基层医疗卫生机构。</w:t>
      </w:r>
      <w:r>
        <w:rPr>
          <w:rFonts w:ascii="仿宋_GB2312" w:hAnsi="仿宋_GB2312" w:cs="仿宋_GB2312" w:hint="eastAsia"/>
          <w:bCs/>
          <w:szCs w:val="32"/>
        </w:rPr>
        <w:t>有条件的基层医疗卫生机构可开展</w:t>
      </w:r>
      <w:r>
        <w:rPr>
          <w:rFonts w:ascii="仿宋_GB2312" w:hAnsi="Times New Roman" w:hint="eastAsia"/>
          <w:color w:val="000000"/>
          <w:kern w:val="0"/>
          <w:szCs w:val="32"/>
        </w:rPr>
        <w:t>房颤防治宣教、</w:t>
      </w:r>
      <w:r>
        <w:rPr>
          <w:rFonts w:ascii="仿宋_GB2312" w:hAnsi="Times New Roman"/>
          <w:color w:val="000000"/>
          <w:kern w:val="0"/>
          <w:szCs w:val="32"/>
        </w:rPr>
        <w:t>初步识别</w:t>
      </w:r>
      <w:r>
        <w:rPr>
          <w:rFonts w:ascii="仿宋_GB2312" w:hAnsi="Times New Roman" w:hint="eastAsia"/>
          <w:color w:val="000000"/>
          <w:kern w:val="0"/>
          <w:szCs w:val="32"/>
        </w:rPr>
        <w:t>、接续治疗、康复和随访。结合上级医院已制定的诊疗方案进行规范诊治；实施随访及定期体检；实施双向转诊；建立房颤专病档案，做好信息管理工作。开展健康教育，指导患者自我健康管理。鼓励参与房颤专病中心建设，与二级以上医院建立远程心电网络，进行房颤</w:t>
      </w:r>
      <w:r>
        <w:rPr>
          <w:rFonts w:ascii="仿宋_GB2312" w:hAnsi="Times New Roman"/>
          <w:color w:val="000000"/>
          <w:kern w:val="0"/>
          <w:szCs w:val="32"/>
        </w:rPr>
        <w:t>初步识别</w:t>
      </w:r>
      <w:r>
        <w:rPr>
          <w:rFonts w:ascii="仿宋_GB2312" w:hAnsi="Times New Roman" w:hint="eastAsia"/>
          <w:color w:val="000000"/>
          <w:kern w:val="0"/>
          <w:szCs w:val="32"/>
        </w:rPr>
        <w:t>。</w:t>
      </w:r>
    </w:p>
    <w:p w:rsidR="00654FAD" w:rsidRDefault="002B56DA">
      <w:pPr>
        <w:adjustRightInd w:val="0"/>
        <w:snapToGrid w:val="0"/>
        <w:spacing w:line="360" w:lineRule="auto"/>
        <w:ind w:firstLineChars="200" w:firstLine="643"/>
        <w:rPr>
          <w:rFonts w:ascii="楷体_GB2312" w:eastAsia="楷体_GB2312" w:hAnsi="Times New Roman"/>
          <w:color w:val="000000"/>
          <w:kern w:val="0"/>
          <w:szCs w:val="32"/>
        </w:rPr>
      </w:pPr>
      <w:r>
        <w:rPr>
          <w:rFonts w:ascii="楷体_GB2312" w:eastAsia="楷体_GB2312" w:hAnsi="Times New Roman" w:hint="eastAsia"/>
          <w:b/>
          <w:bCs/>
          <w:color w:val="000000"/>
          <w:kern w:val="0"/>
          <w:szCs w:val="32"/>
        </w:rPr>
        <w:t>（三）分级诊疗路径（图1）。</w:t>
      </w:r>
    </w:p>
    <w:p w:rsidR="00654FAD" w:rsidRDefault="002B56DA">
      <w:pPr>
        <w:spacing w:line="360" w:lineRule="auto"/>
        <w:jc w:val="center"/>
        <w:rPr>
          <w:rFonts w:ascii="Times New Roman" w:hAnsi="Times New Roman"/>
          <w:b/>
          <w:bCs/>
          <w:color w:val="000000"/>
          <w:kern w:val="0"/>
          <w:sz w:val="24"/>
        </w:rPr>
      </w:pPr>
      <w:r>
        <w:rPr>
          <w:rFonts w:ascii="Times New Roman" w:hAnsi="Times New Roman"/>
          <w:b/>
          <w:noProof/>
          <w:color w:val="000000"/>
          <w:kern w:val="0"/>
        </w:rPr>
        <w:drawing>
          <wp:inline distT="0" distB="0" distL="114300" distR="114300">
            <wp:extent cx="5701665" cy="3846830"/>
            <wp:effectExtent l="0" t="0" r="133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701665" cy="3846830"/>
                    </a:xfrm>
                    <a:prstGeom prst="rect">
                      <a:avLst/>
                    </a:prstGeom>
                    <a:noFill/>
                    <a:ln w="9525">
                      <a:noFill/>
                      <a:miter/>
                    </a:ln>
                  </pic:spPr>
                </pic:pic>
              </a:graphicData>
            </a:graphic>
          </wp:inline>
        </w:drawing>
      </w:r>
    </w:p>
    <w:p w:rsidR="00654FAD" w:rsidRDefault="002B56DA">
      <w:pPr>
        <w:spacing w:beforeLines="50" w:before="156" w:afterLines="50" w:after="156" w:line="360" w:lineRule="auto"/>
        <w:jc w:val="center"/>
        <w:rPr>
          <w:rFonts w:ascii="仿宋_GB2312" w:hAnsi="Times New Roman"/>
          <w:bCs/>
          <w:color w:val="000000"/>
          <w:kern w:val="0"/>
          <w:szCs w:val="32"/>
        </w:rPr>
      </w:pPr>
      <w:r>
        <w:rPr>
          <w:rFonts w:ascii="仿宋_GB2312" w:hAnsi="Times New Roman" w:hint="eastAsia"/>
          <w:bCs/>
          <w:color w:val="000000"/>
          <w:kern w:val="0"/>
          <w:szCs w:val="32"/>
        </w:rPr>
        <w:t>图1.房颤分级诊疗路径</w:t>
      </w:r>
    </w:p>
    <w:p w:rsidR="00654FAD" w:rsidRDefault="002B56DA">
      <w:pPr>
        <w:autoSpaceDE w:val="0"/>
        <w:autoSpaceDN w:val="0"/>
        <w:adjustRightInd w:val="0"/>
        <w:snapToGrid w:val="0"/>
        <w:spacing w:line="360" w:lineRule="auto"/>
        <w:ind w:firstLineChars="200" w:firstLine="643"/>
        <w:rPr>
          <w:rFonts w:ascii="楷体_GB2312" w:eastAsia="楷体_GB2312" w:hAnsi="Times New Roman"/>
          <w:color w:val="000000"/>
          <w:kern w:val="0"/>
          <w:szCs w:val="32"/>
        </w:rPr>
      </w:pPr>
      <w:r>
        <w:rPr>
          <w:rFonts w:ascii="楷体_GB2312" w:eastAsia="楷体_GB2312" w:hAnsi="Times New Roman" w:hint="eastAsia"/>
          <w:b/>
          <w:bCs/>
          <w:color w:val="000000"/>
          <w:kern w:val="0"/>
          <w:szCs w:val="32"/>
        </w:rPr>
        <w:t>（四）双向转诊标准。</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1.基层医疗卫生机构上转至二级及以上医院的标准。</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（1）社区初诊或疑似房颤的患者。</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（2）既往病情稳定，出现以下情况之一，应及时转至二级以上医院救治：</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①</w:t>
      </w:r>
      <w:r>
        <w:rPr>
          <w:rFonts w:ascii="仿宋_GB2312" w:hAnsi="Times New Roman" w:hint="eastAsia"/>
          <w:color w:val="000000"/>
          <w:kern w:val="0"/>
          <w:szCs w:val="32"/>
        </w:rPr>
        <w:t>基础疾病加重，经治疗不能缓解；</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②</w:t>
      </w:r>
      <w:r>
        <w:rPr>
          <w:rFonts w:ascii="仿宋_GB2312" w:hAnsi="Times New Roman" w:hint="eastAsia"/>
          <w:szCs w:val="32"/>
        </w:rPr>
        <w:t>出</w:t>
      </w:r>
      <w:r>
        <w:rPr>
          <w:rFonts w:ascii="仿宋_GB2312" w:hAnsi="Times New Roman" w:hint="eastAsia"/>
          <w:color w:val="000000"/>
          <w:kern w:val="0"/>
          <w:szCs w:val="32"/>
        </w:rPr>
        <w:t>现严重并发症，如血流动力学紊乱、血栓栓塞、</w:t>
      </w:r>
      <w:r>
        <w:rPr>
          <w:rFonts w:ascii="仿宋_GB2312" w:hint="eastAsia"/>
          <w:szCs w:val="32"/>
        </w:rPr>
        <w:t>抗凝出血情况</w:t>
      </w:r>
      <w:r>
        <w:rPr>
          <w:rFonts w:ascii="仿宋_GB2312"/>
          <w:szCs w:val="32"/>
        </w:rPr>
        <w:t>、</w:t>
      </w:r>
      <w:r>
        <w:rPr>
          <w:rFonts w:ascii="仿宋_GB2312" w:hAnsi="Times New Roman" w:hint="eastAsia"/>
          <w:color w:val="000000"/>
          <w:kern w:val="0"/>
          <w:szCs w:val="32"/>
        </w:rPr>
        <w:t>心力衰竭等。</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（3）对具有中医药治疗需求的房颤患者，出现以下情况之一的，应当转诊：</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 xml:space="preserve">①基层医疗卫生机构不能提供房颤中医辨证治疗服务时； </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②经中医药治疗疗效不佳者。</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2.二级医院上转至三级医院的标准。</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（1）</w:t>
      </w:r>
      <w:r>
        <w:rPr>
          <w:rFonts w:ascii="仿宋_GB2312" w:hAnsi="Times New Roman" w:hint="eastAsia"/>
          <w:color w:val="000000"/>
          <w:kern w:val="0"/>
          <w:szCs w:val="32"/>
        </w:rPr>
        <w:t>急性房颤，伴有血流动力学紊乱者。</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（2）基础疾病重症者</w:t>
      </w:r>
      <w:r>
        <w:rPr>
          <w:rFonts w:ascii="仿宋_GB2312" w:hAnsi="Times New Roman" w:hint="eastAsia"/>
          <w:color w:val="000000"/>
          <w:kern w:val="0"/>
          <w:szCs w:val="32"/>
        </w:rPr>
        <w:t>。</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（3）出现严重并发症者</w:t>
      </w:r>
      <w:r>
        <w:rPr>
          <w:rFonts w:ascii="仿宋_GB2312" w:hAnsi="Times New Roman" w:hint="eastAsia"/>
          <w:color w:val="000000"/>
          <w:kern w:val="0"/>
          <w:szCs w:val="32"/>
        </w:rPr>
        <w:t>。</w:t>
      </w:r>
    </w:p>
    <w:p w:rsidR="00654FAD" w:rsidRDefault="002B56DA">
      <w:pPr>
        <w:autoSpaceDE w:val="0"/>
        <w:autoSpaceDN w:val="0"/>
        <w:adjustRightInd w:val="0"/>
        <w:snapToGrid w:val="0"/>
        <w:spacing w:line="360" w:lineRule="auto"/>
        <w:ind w:firstLineChars="200" w:firstLine="640"/>
        <w:rPr>
          <w:rFonts w:ascii="仿宋_GB2312" w:hAnsi="宋体" w:cs="宋体"/>
          <w:color w:val="000000"/>
          <w:kern w:val="0"/>
          <w:szCs w:val="32"/>
        </w:rPr>
      </w:pPr>
      <w:r>
        <w:rPr>
          <w:rFonts w:ascii="仿宋_GB2312" w:hAnsi="宋体" w:cs="宋体" w:hint="eastAsia"/>
          <w:szCs w:val="32"/>
        </w:rPr>
        <w:t>（4）</w:t>
      </w:r>
      <w:r>
        <w:rPr>
          <w:rFonts w:ascii="仿宋_GB2312" w:hAnsi="Times New Roman" w:hint="eastAsia"/>
          <w:color w:val="000000"/>
          <w:kern w:val="0"/>
          <w:szCs w:val="32"/>
        </w:rPr>
        <w:t>符合介入诊疗和手术适应证者，包括导管消融、左心耳封堵、外科治疗等</w:t>
      </w:r>
      <w:r>
        <w:rPr>
          <w:rFonts w:ascii="仿宋_GB2312" w:hAnsi="宋体" w:cs="宋体" w:hint="eastAsia"/>
          <w:color w:val="000000"/>
          <w:kern w:val="0"/>
          <w:szCs w:val="32"/>
        </w:rPr>
        <w:t>。</w:t>
      </w:r>
    </w:p>
    <w:p w:rsidR="00654FAD" w:rsidRDefault="002B56DA">
      <w:pPr>
        <w:autoSpaceDE w:val="0"/>
        <w:autoSpaceDN w:val="0"/>
        <w:adjustRightInd w:val="0"/>
        <w:snapToGrid w:val="0"/>
        <w:spacing w:line="360" w:lineRule="auto"/>
        <w:ind w:firstLineChars="200" w:firstLine="640"/>
        <w:rPr>
          <w:rFonts w:ascii="仿宋_GB2312" w:hAnsi="宋体" w:cs="宋体"/>
          <w:color w:val="000000"/>
          <w:kern w:val="0"/>
          <w:szCs w:val="32"/>
        </w:rPr>
      </w:pPr>
      <w:r>
        <w:rPr>
          <w:rFonts w:ascii="仿宋_GB2312" w:hAnsi="宋体" w:cs="宋体" w:hint="eastAsia"/>
          <w:color w:val="000000"/>
          <w:kern w:val="0"/>
          <w:szCs w:val="32"/>
        </w:rPr>
        <w:t>（5）有中医药治疗需求，经中医药治疗疗效不佳者。</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3.三级医院下转至二级医院或基层医疗卫生机构的标准。</w:t>
      </w:r>
    </w:p>
    <w:p w:rsidR="00654FAD" w:rsidRDefault="002B56DA">
      <w:pPr>
        <w:adjustRightInd w:val="0"/>
        <w:snapToGrid w:val="0"/>
        <w:spacing w:line="360" w:lineRule="auto"/>
        <w:ind w:firstLineChars="200" w:firstLine="640"/>
        <w:rPr>
          <w:rFonts w:ascii="仿宋_GB2312" w:hAnsi="Times New Roman"/>
          <w:szCs w:val="32"/>
        </w:rPr>
      </w:pPr>
      <w:r>
        <w:rPr>
          <w:rFonts w:ascii="仿宋_GB2312" w:hAnsi="Times New Roman" w:hint="eastAsia"/>
          <w:color w:val="000000"/>
          <w:kern w:val="0"/>
          <w:szCs w:val="32"/>
        </w:rPr>
        <w:t>（1）病情稳定。</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（2）治疗方案已明确，需常规治疗和长期随访。</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color w:val="000000"/>
          <w:kern w:val="0"/>
          <w:szCs w:val="32"/>
        </w:rPr>
        <w:t>（3）诊断明确的，可进行临终姑息治疗的终末期患者。</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4.二级医院转至基层医疗卫生机构的标准。</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诊断明确，治疗方案确定，并发症控制良好，需常规治疗、康复和长期随访者。</w:t>
      </w:r>
    </w:p>
    <w:p w:rsidR="00654FAD" w:rsidRDefault="002B56DA">
      <w:pPr>
        <w:autoSpaceDE w:val="0"/>
        <w:autoSpaceDN w:val="0"/>
        <w:adjustRightInd w:val="0"/>
        <w:snapToGrid w:val="0"/>
        <w:spacing w:line="360" w:lineRule="auto"/>
        <w:ind w:firstLineChars="200" w:firstLine="640"/>
        <w:rPr>
          <w:rFonts w:ascii="黑体" w:eastAsia="黑体" w:hAnsi="黑体"/>
          <w:color w:val="000000"/>
          <w:kern w:val="0"/>
          <w:szCs w:val="32"/>
        </w:rPr>
      </w:pPr>
      <w:r>
        <w:rPr>
          <w:rFonts w:ascii="黑体" w:eastAsia="黑体" w:hAnsi="黑体" w:hint="eastAsia"/>
          <w:color w:val="000000"/>
          <w:kern w:val="0"/>
          <w:szCs w:val="32"/>
        </w:rPr>
        <w:t>三、房颤患者的初步识别、诊断、评估</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楷体_GB2312" w:eastAsia="楷体_GB2312" w:hAnsi="Times New Roman" w:hint="eastAsia"/>
          <w:b/>
          <w:bCs/>
          <w:color w:val="000000"/>
          <w:kern w:val="0"/>
          <w:szCs w:val="32"/>
        </w:rPr>
        <w:t>（一）房颤的初步识别。</w:t>
      </w:r>
      <w:r>
        <w:rPr>
          <w:rFonts w:ascii="仿宋_GB2312" w:hAnsi="Times New Roman" w:hint="eastAsia"/>
          <w:bCs/>
          <w:color w:val="000000"/>
          <w:kern w:val="0"/>
          <w:szCs w:val="32"/>
        </w:rPr>
        <w:t>应当重视人群中房颤的</w:t>
      </w:r>
      <w:r>
        <w:rPr>
          <w:rFonts w:ascii="仿宋_GB2312" w:hAnsi="Times New Roman"/>
          <w:color w:val="000000"/>
          <w:kern w:val="0"/>
          <w:szCs w:val="32"/>
        </w:rPr>
        <w:t>初步识别</w:t>
      </w:r>
      <w:r>
        <w:rPr>
          <w:rFonts w:ascii="仿宋_GB2312" w:hAnsi="Times New Roman" w:hint="eastAsia"/>
          <w:bCs/>
          <w:color w:val="000000"/>
          <w:kern w:val="0"/>
          <w:szCs w:val="32"/>
        </w:rPr>
        <w:t>，特别是具有房颤高危患病因素的人群，如65岁以上</w:t>
      </w:r>
      <w:r>
        <w:rPr>
          <w:rFonts w:ascii="仿宋_GB2312" w:hAnsi="Times New Roman"/>
          <w:bCs/>
          <w:color w:val="000000"/>
          <w:kern w:val="0"/>
          <w:szCs w:val="32"/>
        </w:rPr>
        <w:t>、</w:t>
      </w:r>
      <w:r>
        <w:rPr>
          <w:rFonts w:ascii="仿宋_GB2312" w:hAnsi="Times New Roman" w:hint="eastAsia"/>
          <w:bCs/>
          <w:color w:val="000000"/>
          <w:kern w:val="0"/>
          <w:szCs w:val="32"/>
        </w:rPr>
        <w:t>高血压、糖尿病、冠心病、心肌病</w:t>
      </w:r>
      <w:r>
        <w:rPr>
          <w:rFonts w:ascii="仿宋_GB2312" w:hAnsi="Times New Roman"/>
          <w:bCs/>
          <w:color w:val="000000"/>
          <w:kern w:val="0"/>
          <w:szCs w:val="32"/>
        </w:rPr>
        <w:t>、</w:t>
      </w:r>
      <w:r>
        <w:rPr>
          <w:rFonts w:ascii="仿宋_GB2312" w:hAnsi="Times New Roman" w:hint="eastAsia"/>
          <w:bCs/>
          <w:color w:val="000000"/>
          <w:kern w:val="0"/>
          <w:szCs w:val="32"/>
        </w:rPr>
        <w:t>脑梗塞等患者。通过常规或长程心电图诊断房颤，</w:t>
      </w:r>
      <w:r>
        <w:rPr>
          <w:rFonts w:ascii="仿宋_GB2312" w:hAnsi="Times New Roman" w:hint="eastAsia"/>
          <w:color w:val="000000"/>
          <w:kern w:val="0"/>
          <w:szCs w:val="32"/>
        </w:rPr>
        <w:t>记录人口学、症状、基础疾病等信息。</w:t>
      </w:r>
    </w:p>
    <w:p w:rsidR="00654FAD" w:rsidRDefault="002B56DA">
      <w:pPr>
        <w:autoSpaceDE w:val="0"/>
        <w:autoSpaceDN w:val="0"/>
        <w:adjustRightInd w:val="0"/>
        <w:snapToGrid w:val="0"/>
        <w:spacing w:line="360" w:lineRule="auto"/>
        <w:ind w:firstLineChars="200" w:firstLine="643"/>
        <w:rPr>
          <w:rFonts w:ascii="楷体_GB2312" w:eastAsia="楷体_GB2312" w:hAnsi="Times New Roman"/>
          <w:color w:val="000000"/>
          <w:kern w:val="0"/>
          <w:szCs w:val="32"/>
        </w:rPr>
      </w:pPr>
      <w:r>
        <w:rPr>
          <w:rFonts w:ascii="楷体_GB2312" w:eastAsia="楷体_GB2312" w:hAnsi="Times New Roman" w:hint="eastAsia"/>
          <w:b/>
          <w:bCs/>
          <w:color w:val="000000"/>
          <w:kern w:val="0"/>
          <w:szCs w:val="32"/>
        </w:rPr>
        <w:t>（二）房颤诊断和评估。</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1.病史采集。</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1）现病史：发病时间，症状及治疗情况。有无心悸、乏力、胸闷、运动耐量下降、头昏、黑朦、晕厥等；症状出现的时间、程度、诱因、加重/缓解因素；其他伴随症状。采用欧洲心律学会（EHRA）症状评级标准以评估症状严重性（表1）。</w:t>
      </w:r>
    </w:p>
    <w:p w:rsidR="00654FAD" w:rsidRDefault="002B56DA">
      <w:pPr>
        <w:autoSpaceDE w:val="0"/>
        <w:autoSpaceDN w:val="0"/>
        <w:adjustRightInd w:val="0"/>
        <w:spacing w:beforeLines="50" w:before="156" w:afterLines="50" w:after="156" w:line="360" w:lineRule="auto"/>
        <w:jc w:val="center"/>
        <w:rPr>
          <w:rFonts w:ascii="仿宋_GB2312" w:hAnsi="Times New Roman"/>
          <w:color w:val="000000"/>
          <w:kern w:val="0"/>
          <w:szCs w:val="32"/>
        </w:rPr>
      </w:pPr>
      <w:r>
        <w:rPr>
          <w:rFonts w:ascii="仿宋_GB2312" w:hAnsi="Times New Roman" w:hint="eastAsia"/>
          <w:color w:val="000000"/>
          <w:kern w:val="0"/>
          <w:szCs w:val="32"/>
        </w:rPr>
        <w:t>表1.EHRA房颤症状评级标准</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5529"/>
      </w:tblGrid>
      <w:tr w:rsidR="00654FAD" w:rsidTr="002B56DA">
        <w:trPr>
          <w:trHeight w:val="267"/>
          <w:jc w:val="center"/>
        </w:trPr>
        <w:tc>
          <w:tcPr>
            <w:tcW w:w="1384" w:type="dxa"/>
          </w:tcPr>
          <w:p w:rsidR="00654FAD" w:rsidRDefault="002B56DA">
            <w:pPr>
              <w:autoSpaceDE w:val="0"/>
              <w:autoSpaceDN w:val="0"/>
              <w:adjustRightInd w:val="0"/>
              <w:snapToGrid w:val="0"/>
              <w:jc w:val="center"/>
              <w:rPr>
                <w:rFonts w:ascii="仿宋_GB2312" w:hAnsi="Times New Roman"/>
                <w:b/>
                <w:color w:val="000000"/>
                <w:kern w:val="0"/>
                <w:sz w:val="28"/>
                <w:szCs w:val="28"/>
              </w:rPr>
            </w:pPr>
            <w:r>
              <w:rPr>
                <w:rFonts w:ascii="仿宋_GB2312" w:hAnsi="Times New Roman" w:hint="eastAsia"/>
                <w:b/>
                <w:color w:val="000000"/>
                <w:kern w:val="0"/>
                <w:sz w:val="28"/>
                <w:szCs w:val="28"/>
              </w:rPr>
              <w:t>EHRA评级</w:t>
            </w:r>
          </w:p>
        </w:tc>
        <w:tc>
          <w:tcPr>
            <w:tcW w:w="2126" w:type="dxa"/>
          </w:tcPr>
          <w:p w:rsidR="00654FAD" w:rsidRDefault="002B56DA">
            <w:pPr>
              <w:autoSpaceDE w:val="0"/>
              <w:autoSpaceDN w:val="0"/>
              <w:adjustRightInd w:val="0"/>
              <w:snapToGrid w:val="0"/>
              <w:jc w:val="center"/>
              <w:rPr>
                <w:rFonts w:ascii="仿宋_GB2312" w:hAnsi="Times New Roman"/>
                <w:b/>
                <w:color w:val="000000"/>
                <w:kern w:val="0"/>
                <w:sz w:val="28"/>
                <w:szCs w:val="28"/>
              </w:rPr>
            </w:pPr>
            <w:r>
              <w:rPr>
                <w:rFonts w:ascii="仿宋_GB2312" w:hAnsi="Times New Roman" w:hint="eastAsia"/>
                <w:b/>
                <w:color w:val="000000"/>
                <w:kern w:val="0"/>
                <w:sz w:val="28"/>
                <w:szCs w:val="28"/>
              </w:rPr>
              <w:t>症状严重程度</w:t>
            </w:r>
          </w:p>
        </w:tc>
        <w:tc>
          <w:tcPr>
            <w:tcW w:w="5529" w:type="dxa"/>
          </w:tcPr>
          <w:p w:rsidR="00654FAD" w:rsidRDefault="002B56DA">
            <w:pPr>
              <w:autoSpaceDE w:val="0"/>
              <w:autoSpaceDN w:val="0"/>
              <w:adjustRightInd w:val="0"/>
              <w:snapToGrid w:val="0"/>
              <w:jc w:val="center"/>
              <w:rPr>
                <w:rFonts w:ascii="仿宋_GB2312" w:hAnsi="Times New Roman"/>
                <w:b/>
                <w:color w:val="000000"/>
                <w:kern w:val="0"/>
                <w:sz w:val="28"/>
                <w:szCs w:val="28"/>
              </w:rPr>
            </w:pPr>
            <w:r>
              <w:rPr>
                <w:rFonts w:ascii="仿宋_GB2312" w:hAnsi="Times New Roman" w:hint="eastAsia"/>
                <w:b/>
                <w:color w:val="000000"/>
                <w:kern w:val="0"/>
                <w:sz w:val="28"/>
                <w:szCs w:val="28"/>
              </w:rPr>
              <w:t>描述</w:t>
            </w:r>
          </w:p>
        </w:tc>
      </w:tr>
      <w:tr w:rsidR="00654FAD" w:rsidTr="002B56DA">
        <w:trPr>
          <w:trHeight w:val="315"/>
          <w:jc w:val="center"/>
        </w:trPr>
        <w:tc>
          <w:tcPr>
            <w:tcW w:w="1384"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color w:val="000000"/>
                <w:kern w:val="0"/>
                <w:sz w:val="28"/>
                <w:szCs w:val="28"/>
              </w:rPr>
              <w:t>1</w:t>
            </w:r>
          </w:p>
        </w:tc>
        <w:tc>
          <w:tcPr>
            <w:tcW w:w="2126"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hint="eastAsia"/>
                <w:color w:val="000000"/>
                <w:kern w:val="0"/>
                <w:sz w:val="28"/>
                <w:szCs w:val="28"/>
              </w:rPr>
              <w:t>无</w:t>
            </w:r>
          </w:p>
        </w:tc>
        <w:tc>
          <w:tcPr>
            <w:tcW w:w="5529" w:type="dxa"/>
          </w:tcPr>
          <w:p w:rsidR="00654FAD" w:rsidRDefault="002B56DA">
            <w:pPr>
              <w:autoSpaceDE w:val="0"/>
              <w:autoSpaceDN w:val="0"/>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房颤不引起任何症状</w:t>
            </w:r>
          </w:p>
        </w:tc>
      </w:tr>
      <w:tr w:rsidR="00654FAD" w:rsidTr="002B56DA">
        <w:trPr>
          <w:trHeight w:val="235"/>
          <w:jc w:val="center"/>
        </w:trPr>
        <w:tc>
          <w:tcPr>
            <w:tcW w:w="1384"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color w:val="000000"/>
                <w:kern w:val="0"/>
                <w:sz w:val="28"/>
                <w:szCs w:val="28"/>
              </w:rPr>
              <w:t>2a</w:t>
            </w:r>
          </w:p>
        </w:tc>
        <w:tc>
          <w:tcPr>
            <w:tcW w:w="2126"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hint="eastAsia"/>
                <w:color w:val="000000"/>
                <w:kern w:val="0"/>
                <w:sz w:val="28"/>
                <w:szCs w:val="28"/>
              </w:rPr>
              <w:t>轻度</w:t>
            </w:r>
          </w:p>
        </w:tc>
        <w:tc>
          <w:tcPr>
            <w:tcW w:w="5529" w:type="dxa"/>
          </w:tcPr>
          <w:p w:rsidR="00654FAD" w:rsidRDefault="002B56DA">
            <w:pPr>
              <w:autoSpaceDE w:val="0"/>
              <w:autoSpaceDN w:val="0"/>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日常活动不受房颤相关症状的影响</w:t>
            </w:r>
          </w:p>
        </w:tc>
      </w:tr>
      <w:tr w:rsidR="00654FAD" w:rsidTr="002B56DA">
        <w:trPr>
          <w:trHeight w:val="498"/>
          <w:jc w:val="center"/>
        </w:trPr>
        <w:tc>
          <w:tcPr>
            <w:tcW w:w="1384"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color w:val="000000"/>
                <w:kern w:val="0"/>
                <w:sz w:val="28"/>
                <w:szCs w:val="28"/>
              </w:rPr>
              <w:t>2b</w:t>
            </w:r>
          </w:p>
        </w:tc>
        <w:tc>
          <w:tcPr>
            <w:tcW w:w="2126"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hint="eastAsia"/>
                <w:color w:val="000000"/>
                <w:kern w:val="0"/>
                <w:sz w:val="28"/>
                <w:szCs w:val="28"/>
              </w:rPr>
              <w:t>中度</w:t>
            </w:r>
          </w:p>
        </w:tc>
        <w:tc>
          <w:tcPr>
            <w:tcW w:w="5529" w:type="dxa"/>
          </w:tcPr>
          <w:p w:rsidR="00654FAD" w:rsidRDefault="002B56DA">
            <w:pPr>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日常活动不受房颤相关症状的影响，但受到症状困扰</w:t>
            </w:r>
          </w:p>
        </w:tc>
      </w:tr>
      <w:tr w:rsidR="00654FAD" w:rsidTr="002B56DA">
        <w:trPr>
          <w:trHeight w:val="332"/>
          <w:jc w:val="center"/>
        </w:trPr>
        <w:tc>
          <w:tcPr>
            <w:tcW w:w="1384"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color w:val="000000"/>
                <w:kern w:val="0"/>
                <w:sz w:val="28"/>
                <w:szCs w:val="28"/>
              </w:rPr>
              <w:t>3</w:t>
            </w:r>
          </w:p>
        </w:tc>
        <w:tc>
          <w:tcPr>
            <w:tcW w:w="2126"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hint="eastAsia"/>
                <w:color w:val="000000"/>
                <w:kern w:val="0"/>
                <w:sz w:val="28"/>
                <w:szCs w:val="28"/>
              </w:rPr>
              <w:t>严重</w:t>
            </w:r>
          </w:p>
        </w:tc>
        <w:tc>
          <w:tcPr>
            <w:tcW w:w="5529" w:type="dxa"/>
          </w:tcPr>
          <w:p w:rsidR="00654FAD" w:rsidRDefault="002B56DA">
            <w:pPr>
              <w:autoSpaceDE w:val="0"/>
              <w:autoSpaceDN w:val="0"/>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日常活动受到房颤相关症状的影响</w:t>
            </w:r>
          </w:p>
        </w:tc>
      </w:tr>
      <w:tr w:rsidR="00654FAD" w:rsidTr="002B56DA">
        <w:trPr>
          <w:trHeight w:val="327"/>
          <w:jc w:val="center"/>
        </w:trPr>
        <w:tc>
          <w:tcPr>
            <w:tcW w:w="1384"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color w:val="000000"/>
                <w:kern w:val="0"/>
                <w:sz w:val="28"/>
                <w:szCs w:val="28"/>
              </w:rPr>
              <w:t>4</w:t>
            </w:r>
          </w:p>
        </w:tc>
        <w:tc>
          <w:tcPr>
            <w:tcW w:w="2126" w:type="dxa"/>
            <w:vAlign w:val="center"/>
          </w:tcPr>
          <w:p w:rsidR="00654FAD" w:rsidRDefault="002B56DA">
            <w:pPr>
              <w:autoSpaceDE w:val="0"/>
              <w:autoSpaceDN w:val="0"/>
              <w:adjustRightInd w:val="0"/>
              <w:snapToGrid w:val="0"/>
              <w:jc w:val="center"/>
              <w:rPr>
                <w:rFonts w:ascii="仿宋_GB2312" w:hAnsi="Times New Roman"/>
                <w:color w:val="000000"/>
                <w:kern w:val="0"/>
                <w:sz w:val="28"/>
                <w:szCs w:val="28"/>
              </w:rPr>
            </w:pPr>
            <w:r>
              <w:rPr>
                <w:rFonts w:ascii="仿宋_GB2312" w:hAnsi="Times New Roman" w:hint="eastAsia"/>
                <w:color w:val="000000"/>
                <w:kern w:val="0"/>
                <w:sz w:val="28"/>
                <w:szCs w:val="28"/>
              </w:rPr>
              <w:t>致残</w:t>
            </w:r>
          </w:p>
        </w:tc>
        <w:tc>
          <w:tcPr>
            <w:tcW w:w="5529" w:type="dxa"/>
          </w:tcPr>
          <w:p w:rsidR="00654FAD" w:rsidRDefault="002B56DA">
            <w:pPr>
              <w:autoSpaceDE w:val="0"/>
              <w:autoSpaceDN w:val="0"/>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正常日常活动终止</w:t>
            </w:r>
          </w:p>
        </w:tc>
      </w:tr>
    </w:tbl>
    <w:p w:rsidR="00654FAD" w:rsidRDefault="00654FAD">
      <w:pPr>
        <w:autoSpaceDE w:val="0"/>
        <w:autoSpaceDN w:val="0"/>
        <w:adjustRightInd w:val="0"/>
        <w:snapToGrid w:val="0"/>
        <w:spacing w:line="360" w:lineRule="auto"/>
        <w:ind w:firstLineChars="200" w:firstLine="640"/>
        <w:rPr>
          <w:rFonts w:ascii="仿宋_GB2312" w:hAnsi="Times New Roman"/>
          <w:color w:val="000000"/>
          <w:kern w:val="0"/>
          <w:szCs w:val="32"/>
        </w:rPr>
      </w:pP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（2）既往史：有无心血管危险因素、心血管基础疾病、合并疾病、全身性疾病等，如甲状腺疾病。</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（3）个人史：是否有相关诱因，如酗酒、过量饮用咖啡、喜饮浓茶</w:t>
      </w:r>
      <w:r>
        <w:rPr>
          <w:rFonts w:ascii="仿宋_GB2312" w:hAnsi="Times New Roman"/>
          <w:color w:val="000000"/>
          <w:kern w:val="0"/>
          <w:szCs w:val="32"/>
        </w:rPr>
        <w:t>、吸烟</w:t>
      </w:r>
      <w:r>
        <w:rPr>
          <w:rFonts w:ascii="仿宋_GB2312" w:hAnsi="Times New Roman" w:hint="eastAsia"/>
          <w:color w:val="000000"/>
          <w:kern w:val="0"/>
          <w:szCs w:val="32"/>
        </w:rPr>
        <w:t>等。</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（4）家族史：是否有房颤家族史。</w:t>
      </w:r>
    </w:p>
    <w:p w:rsidR="00654FAD" w:rsidRDefault="002B56DA">
      <w:pPr>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（5）社会心理因素。</w:t>
      </w:r>
    </w:p>
    <w:p w:rsidR="00654FAD" w:rsidRDefault="002B56DA">
      <w:pPr>
        <w:autoSpaceDE w:val="0"/>
        <w:autoSpaceDN w:val="0"/>
        <w:adjustRightInd w:val="0"/>
        <w:snapToGrid w:val="0"/>
        <w:spacing w:line="360" w:lineRule="auto"/>
        <w:ind w:firstLineChars="200" w:firstLine="643"/>
        <w:rPr>
          <w:rFonts w:ascii="仿宋_GB2312" w:hAnsi="Times New Roman"/>
          <w:b/>
          <w:bCs/>
          <w:color w:val="000000"/>
          <w:kern w:val="0"/>
          <w:szCs w:val="32"/>
        </w:rPr>
      </w:pPr>
      <w:r>
        <w:rPr>
          <w:rFonts w:ascii="仿宋_GB2312" w:hAnsi="Times New Roman" w:hint="eastAsia"/>
          <w:b/>
          <w:bCs/>
          <w:color w:val="000000"/>
          <w:kern w:val="0"/>
          <w:szCs w:val="32"/>
        </w:rPr>
        <w:t>2.体格检查。</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应进行全面查体，重点检查生命体征（血压、心率、呼吸频率）、心脏检查（注意心率、心律、心音）、脉搏（脉律、桡动脉、颈静脉）、身高、体重。</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3.辅助检查。</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（1）实验室检查：包括血清电解质、肝肾功能、血常规、甲状腺功能等。</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（2）心电检查：可采用瞬时、长程、植入装置记录，也可采用佩戴装置记录。</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（3）影像学检查：应常规行经胸超声检查以明确心脏结构和功能、是否有附壁血栓等；必要时，可行经食道超声心动图、X线胸片、CT、MRI（心、脑）等进一步评估</w:t>
      </w:r>
      <w:r>
        <w:rPr>
          <w:rFonts w:ascii="仿宋_GB2312" w:hAnsi="Times New Roman" w:hint="eastAsia"/>
          <w:b/>
          <w:bCs/>
          <w:color w:val="000000"/>
          <w:kern w:val="0"/>
          <w:szCs w:val="32"/>
        </w:rPr>
        <w:t>。</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4.房颤的分类。</w:t>
      </w:r>
      <w:r>
        <w:rPr>
          <w:rFonts w:ascii="仿宋_GB2312" w:hAnsi="Times New Roman" w:hint="eastAsia"/>
          <w:color w:val="000000"/>
          <w:kern w:val="0"/>
          <w:szCs w:val="32"/>
        </w:rPr>
        <w:t>通常分为阵发性房颤(paroxysmal AF)、持续性房颤(persistent AF)、长程持续性房颤(long-standing persistent AF)、永久性房颤(permanent AF)4类（表2）。</w:t>
      </w:r>
    </w:p>
    <w:p w:rsidR="00654FAD" w:rsidRDefault="002B56DA">
      <w:pPr>
        <w:autoSpaceDE w:val="0"/>
        <w:autoSpaceDN w:val="0"/>
        <w:adjustRightInd w:val="0"/>
        <w:snapToGrid w:val="0"/>
        <w:spacing w:line="360" w:lineRule="auto"/>
        <w:jc w:val="center"/>
        <w:rPr>
          <w:rFonts w:ascii="仿宋_GB2312" w:hAnsi="Times New Roman"/>
          <w:color w:val="000000"/>
          <w:kern w:val="0"/>
          <w:szCs w:val="32"/>
        </w:rPr>
      </w:pPr>
      <w:r>
        <w:rPr>
          <w:rFonts w:ascii="仿宋_GB2312" w:hAnsi="Times New Roman" w:hint="eastAsia"/>
          <w:color w:val="000000"/>
          <w:kern w:val="0"/>
          <w:szCs w:val="32"/>
        </w:rPr>
        <w:t>表2.房颤的分类</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6832"/>
      </w:tblGrid>
      <w:tr w:rsidR="00654FAD">
        <w:trPr>
          <w:trHeight w:val="390"/>
          <w:jc w:val="center"/>
        </w:trPr>
        <w:tc>
          <w:tcPr>
            <w:tcW w:w="2213" w:type="dxa"/>
            <w:vAlign w:val="center"/>
          </w:tcPr>
          <w:p w:rsidR="00654FAD" w:rsidRDefault="002B56DA">
            <w:pPr>
              <w:adjustRightInd w:val="0"/>
              <w:snapToGrid w:val="0"/>
              <w:jc w:val="center"/>
              <w:rPr>
                <w:rFonts w:ascii="仿宋_GB2312" w:hAnsi="Times New Roman"/>
                <w:b/>
                <w:color w:val="000000"/>
                <w:kern w:val="0"/>
                <w:sz w:val="28"/>
                <w:szCs w:val="28"/>
              </w:rPr>
            </w:pPr>
            <w:r>
              <w:rPr>
                <w:rFonts w:ascii="仿宋_GB2312" w:hAnsi="Times New Roman" w:hint="eastAsia"/>
                <w:b/>
                <w:color w:val="000000"/>
                <w:kern w:val="0"/>
                <w:sz w:val="28"/>
                <w:szCs w:val="28"/>
              </w:rPr>
              <w:t>分类</w:t>
            </w:r>
          </w:p>
        </w:tc>
        <w:tc>
          <w:tcPr>
            <w:tcW w:w="6832" w:type="dxa"/>
            <w:vAlign w:val="center"/>
          </w:tcPr>
          <w:p w:rsidR="00654FAD" w:rsidRDefault="002B56DA">
            <w:pPr>
              <w:adjustRightInd w:val="0"/>
              <w:snapToGrid w:val="0"/>
              <w:jc w:val="center"/>
              <w:rPr>
                <w:rFonts w:ascii="仿宋_GB2312" w:hAnsi="Times New Roman"/>
                <w:b/>
                <w:color w:val="000000"/>
                <w:kern w:val="0"/>
                <w:sz w:val="28"/>
                <w:szCs w:val="28"/>
              </w:rPr>
            </w:pPr>
            <w:r>
              <w:rPr>
                <w:rFonts w:ascii="仿宋_GB2312" w:hAnsi="Times New Roman" w:hint="eastAsia"/>
                <w:b/>
                <w:color w:val="000000"/>
                <w:kern w:val="0"/>
                <w:sz w:val="28"/>
                <w:szCs w:val="28"/>
              </w:rPr>
              <w:t>定义</w:t>
            </w:r>
          </w:p>
        </w:tc>
      </w:tr>
      <w:tr w:rsidR="00654FAD">
        <w:trPr>
          <w:trHeight w:val="390"/>
          <w:jc w:val="center"/>
        </w:trPr>
        <w:tc>
          <w:tcPr>
            <w:tcW w:w="2213" w:type="dxa"/>
            <w:vAlign w:val="center"/>
          </w:tcPr>
          <w:p w:rsidR="00654FAD" w:rsidRDefault="002B56DA">
            <w:pPr>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阵发性房颤</w:t>
            </w:r>
          </w:p>
        </w:tc>
        <w:tc>
          <w:tcPr>
            <w:tcW w:w="6832" w:type="dxa"/>
            <w:vAlign w:val="center"/>
          </w:tcPr>
          <w:p w:rsidR="00654FAD" w:rsidRDefault="002B56DA">
            <w:pPr>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发作后7天内自行或干预终止的房颤</w:t>
            </w:r>
          </w:p>
        </w:tc>
      </w:tr>
      <w:tr w:rsidR="00654FAD">
        <w:trPr>
          <w:trHeight w:val="390"/>
          <w:jc w:val="center"/>
        </w:trPr>
        <w:tc>
          <w:tcPr>
            <w:tcW w:w="2213" w:type="dxa"/>
            <w:vAlign w:val="center"/>
          </w:tcPr>
          <w:p w:rsidR="00654FAD" w:rsidRDefault="002B56DA">
            <w:pPr>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持续性房颤</w:t>
            </w:r>
          </w:p>
        </w:tc>
        <w:tc>
          <w:tcPr>
            <w:tcW w:w="6832" w:type="dxa"/>
            <w:vAlign w:val="center"/>
          </w:tcPr>
          <w:p w:rsidR="00654FAD" w:rsidRDefault="002B56DA">
            <w:pPr>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持续时间超过7天的房颤</w:t>
            </w:r>
          </w:p>
        </w:tc>
      </w:tr>
      <w:tr w:rsidR="00654FAD">
        <w:trPr>
          <w:trHeight w:val="317"/>
          <w:jc w:val="center"/>
        </w:trPr>
        <w:tc>
          <w:tcPr>
            <w:tcW w:w="2213" w:type="dxa"/>
            <w:vAlign w:val="center"/>
          </w:tcPr>
          <w:p w:rsidR="00654FAD" w:rsidRDefault="002B56DA">
            <w:pPr>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长程持续性房颤</w:t>
            </w:r>
          </w:p>
        </w:tc>
        <w:tc>
          <w:tcPr>
            <w:tcW w:w="6832" w:type="dxa"/>
            <w:vAlign w:val="center"/>
          </w:tcPr>
          <w:p w:rsidR="00654FAD" w:rsidRDefault="002B56DA">
            <w:pPr>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持续时间超过1年的房颤</w:t>
            </w:r>
          </w:p>
        </w:tc>
      </w:tr>
      <w:tr w:rsidR="00654FAD">
        <w:trPr>
          <w:trHeight w:val="1216"/>
          <w:jc w:val="center"/>
        </w:trPr>
        <w:tc>
          <w:tcPr>
            <w:tcW w:w="2213" w:type="dxa"/>
            <w:vAlign w:val="center"/>
          </w:tcPr>
          <w:p w:rsidR="00654FAD" w:rsidRDefault="002B56DA">
            <w:pPr>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永久性房颤</w:t>
            </w:r>
          </w:p>
        </w:tc>
        <w:tc>
          <w:tcPr>
            <w:tcW w:w="6832" w:type="dxa"/>
            <w:vAlign w:val="center"/>
          </w:tcPr>
          <w:p w:rsidR="00654FAD" w:rsidRDefault="002B56DA">
            <w:pPr>
              <w:adjustRightInd w:val="0"/>
              <w:snapToGrid w:val="0"/>
              <w:rPr>
                <w:rFonts w:ascii="仿宋_GB2312" w:hAnsi="Times New Roman"/>
                <w:color w:val="000000"/>
                <w:kern w:val="0"/>
                <w:sz w:val="28"/>
                <w:szCs w:val="28"/>
              </w:rPr>
            </w:pPr>
            <w:r>
              <w:rPr>
                <w:rFonts w:ascii="仿宋_GB2312" w:hAnsi="Times New Roman" w:hint="eastAsia"/>
                <w:color w:val="000000"/>
                <w:kern w:val="0"/>
                <w:sz w:val="28"/>
                <w:szCs w:val="28"/>
              </w:rPr>
              <w:t>医生和患者共同决定放弃恢复或维持窦性心律的一种类型，反映了患者和医生对房颤的治疗态度，而不是房颤自身的病理生理特征，如重新考虑节律控制，则按照长程持续性房颤处理</w:t>
            </w:r>
          </w:p>
        </w:tc>
      </w:tr>
    </w:tbl>
    <w:p w:rsidR="00654FAD" w:rsidRDefault="00654FAD">
      <w:pPr>
        <w:autoSpaceDE w:val="0"/>
        <w:autoSpaceDN w:val="0"/>
        <w:adjustRightInd w:val="0"/>
        <w:snapToGrid w:val="0"/>
        <w:spacing w:line="360" w:lineRule="auto"/>
        <w:ind w:firstLineChars="200" w:firstLine="643"/>
        <w:rPr>
          <w:rFonts w:ascii="仿宋_GB2312" w:hAnsi="Times New Roman"/>
          <w:b/>
          <w:color w:val="000000"/>
          <w:kern w:val="0"/>
          <w:szCs w:val="32"/>
        </w:rPr>
      </w:pP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color w:val="000000"/>
          <w:kern w:val="0"/>
          <w:szCs w:val="32"/>
        </w:rPr>
        <w:t>5.血栓栓塞危险评估。</w:t>
      </w:r>
      <w:r>
        <w:rPr>
          <w:rFonts w:ascii="仿宋_GB2312" w:hAnsi="Times New Roman" w:hint="eastAsia"/>
          <w:color w:val="000000"/>
          <w:kern w:val="0"/>
          <w:szCs w:val="32"/>
        </w:rPr>
        <w:t>应定期评估其血栓栓塞风险。对非瓣膜性房颤患者血栓栓塞风险的评估推荐采用CHA</w:t>
      </w:r>
      <w:r>
        <w:rPr>
          <w:rFonts w:ascii="仿宋_GB2312" w:hAnsi="Times New Roman" w:hint="eastAsia"/>
          <w:color w:val="000000"/>
          <w:kern w:val="0"/>
          <w:szCs w:val="32"/>
          <w:vertAlign w:val="subscript"/>
        </w:rPr>
        <w:t>2</w:t>
      </w:r>
      <w:r>
        <w:rPr>
          <w:rFonts w:ascii="仿宋_GB2312" w:hAnsi="Times New Roman" w:hint="eastAsia"/>
          <w:color w:val="000000"/>
          <w:kern w:val="0"/>
          <w:szCs w:val="32"/>
        </w:rPr>
        <w:t>DS</w:t>
      </w:r>
      <w:r>
        <w:rPr>
          <w:rFonts w:ascii="仿宋_GB2312" w:hAnsi="Times New Roman" w:hint="eastAsia"/>
          <w:color w:val="000000"/>
          <w:kern w:val="0"/>
          <w:szCs w:val="32"/>
          <w:vertAlign w:val="subscript"/>
        </w:rPr>
        <w:t>2</w:t>
      </w:r>
      <w:r>
        <w:rPr>
          <w:rFonts w:ascii="仿宋_GB2312" w:hAnsi="Times New Roman" w:hint="eastAsia"/>
          <w:color w:val="000000"/>
          <w:kern w:val="0"/>
          <w:szCs w:val="32"/>
        </w:rPr>
        <w:t>-VASc评分方法（表3），</w:t>
      </w:r>
      <w:r>
        <w:rPr>
          <w:rFonts w:ascii="仿宋_GB2312" w:hAnsi="Times New Roman" w:hint="eastAsia"/>
          <w:bCs/>
          <w:color w:val="000000"/>
          <w:kern w:val="0"/>
          <w:szCs w:val="32"/>
        </w:rPr>
        <w:t>≥2分的男性或≥3分的女性发生血栓事件的风险较高。瓣膜病、肥厚性心肌病、心腔内有血栓或有自发超声回声现象等亦视为高危血栓风险。</w:t>
      </w:r>
    </w:p>
    <w:p w:rsidR="00654FAD" w:rsidRDefault="002B56DA">
      <w:pPr>
        <w:autoSpaceDE w:val="0"/>
        <w:autoSpaceDN w:val="0"/>
        <w:adjustRightInd w:val="0"/>
        <w:spacing w:line="360" w:lineRule="auto"/>
        <w:jc w:val="center"/>
        <w:rPr>
          <w:rFonts w:ascii="仿宋_GB2312" w:hAnsi="Times New Roman"/>
          <w:color w:val="000000"/>
          <w:kern w:val="0"/>
          <w:szCs w:val="32"/>
        </w:rPr>
      </w:pPr>
      <w:r>
        <w:rPr>
          <w:rFonts w:ascii="仿宋_GB2312" w:hAnsi="Times New Roman" w:hint="eastAsia"/>
          <w:color w:val="000000"/>
          <w:kern w:val="0"/>
          <w:szCs w:val="32"/>
        </w:rPr>
        <w:t>表3.非瓣膜病性房颤卒中危险</w:t>
      </w:r>
      <w:r>
        <w:rPr>
          <w:rFonts w:ascii="仿宋_GB2312" w:hAnsi="Times New Roman" w:hint="eastAsia"/>
          <w:bCs/>
          <w:color w:val="000000"/>
          <w:kern w:val="0"/>
          <w:szCs w:val="32"/>
        </w:rPr>
        <w:t>CHA</w:t>
      </w:r>
      <w:r>
        <w:rPr>
          <w:rFonts w:ascii="仿宋_GB2312" w:hAnsi="Times New Roman" w:hint="eastAsia"/>
          <w:bCs/>
          <w:color w:val="000000"/>
          <w:kern w:val="0"/>
          <w:szCs w:val="32"/>
          <w:vertAlign w:val="subscript"/>
        </w:rPr>
        <w:t>2</w:t>
      </w:r>
      <w:r>
        <w:rPr>
          <w:rFonts w:ascii="仿宋_GB2312" w:hAnsi="Times New Roman" w:hint="eastAsia"/>
          <w:bCs/>
          <w:color w:val="000000"/>
          <w:kern w:val="0"/>
          <w:szCs w:val="32"/>
        </w:rPr>
        <w:t>DS</w:t>
      </w:r>
      <w:r>
        <w:rPr>
          <w:rFonts w:ascii="仿宋_GB2312" w:hAnsi="Times New Roman" w:hint="eastAsia"/>
          <w:bCs/>
          <w:color w:val="000000"/>
          <w:kern w:val="0"/>
          <w:szCs w:val="32"/>
          <w:vertAlign w:val="subscript"/>
        </w:rPr>
        <w:t>2</w:t>
      </w:r>
      <w:r>
        <w:rPr>
          <w:rFonts w:ascii="仿宋_GB2312" w:hAnsi="Times New Roman" w:hint="eastAsia"/>
          <w:bCs/>
          <w:color w:val="000000"/>
          <w:kern w:val="0"/>
          <w:szCs w:val="32"/>
        </w:rPr>
        <w:t>-VAS</w:t>
      </w:r>
      <w:r>
        <w:rPr>
          <w:rFonts w:ascii="仿宋_GB2312" w:hAnsi="Times New Roman" w:hint="eastAsia"/>
          <w:bCs/>
          <w:color w:val="000000"/>
          <w:kern w:val="0"/>
          <w:szCs w:val="32"/>
          <w:vertAlign w:val="subscript"/>
        </w:rPr>
        <w:t>C</w:t>
      </w:r>
      <w:r>
        <w:rPr>
          <w:rFonts w:ascii="仿宋_GB2312" w:hAnsi="Times New Roman" w:hint="eastAsia"/>
          <w:bCs/>
          <w:color w:val="000000"/>
          <w:kern w:val="0"/>
          <w:szCs w:val="32"/>
        </w:rPr>
        <w:t>积分</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6701"/>
        <w:gridCol w:w="1029"/>
      </w:tblGrid>
      <w:tr w:rsidR="00654FAD">
        <w:trPr>
          <w:trHeight w:val="360"/>
          <w:jc w:val="center"/>
        </w:trPr>
        <w:tc>
          <w:tcPr>
            <w:tcW w:w="1114" w:type="dxa"/>
            <w:vAlign w:val="center"/>
          </w:tcPr>
          <w:p w:rsidR="00654FAD" w:rsidRDefault="002B56DA">
            <w:pPr>
              <w:adjustRightInd w:val="0"/>
              <w:snapToGrid w:val="0"/>
              <w:jc w:val="center"/>
              <w:rPr>
                <w:rFonts w:ascii="仿宋_GB2312" w:hAnsi="Times New Roman"/>
                <w:b/>
                <w:bCs/>
                <w:sz w:val="28"/>
                <w:szCs w:val="28"/>
              </w:rPr>
            </w:pPr>
            <w:r>
              <w:rPr>
                <w:rFonts w:ascii="仿宋_GB2312" w:hAnsi="Times New Roman" w:hint="eastAsia"/>
                <w:b/>
                <w:bCs/>
                <w:sz w:val="28"/>
                <w:szCs w:val="28"/>
              </w:rPr>
              <w:t>缩写</w:t>
            </w:r>
          </w:p>
        </w:tc>
        <w:tc>
          <w:tcPr>
            <w:tcW w:w="6701" w:type="dxa"/>
            <w:vAlign w:val="center"/>
          </w:tcPr>
          <w:p w:rsidR="00654FAD" w:rsidRDefault="002B56DA">
            <w:pPr>
              <w:adjustRightInd w:val="0"/>
              <w:snapToGrid w:val="0"/>
              <w:jc w:val="center"/>
              <w:rPr>
                <w:rFonts w:ascii="仿宋_GB2312" w:hAnsi="Times New Roman"/>
                <w:b/>
                <w:bCs/>
                <w:sz w:val="28"/>
                <w:szCs w:val="28"/>
              </w:rPr>
            </w:pPr>
            <w:r>
              <w:rPr>
                <w:rFonts w:ascii="仿宋_GB2312" w:hAnsi="Times New Roman" w:hint="eastAsia"/>
                <w:b/>
                <w:bCs/>
                <w:sz w:val="28"/>
                <w:szCs w:val="28"/>
              </w:rPr>
              <w:t>CHA</w:t>
            </w:r>
            <w:r>
              <w:rPr>
                <w:rFonts w:ascii="仿宋_GB2312" w:hAnsi="Times New Roman" w:hint="eastAsia"/>
                <w:b/>
                <w:bCs/>
                <w:sz w:val="28"/>
                <w:szCs w:val="28"/>
                <w:vertAlign w:val="subscript"/>
              </w:rPr>
              <w:t>2</w:t>
            </w:r>
            <w:r>
              <w:rPr>
                <w:rFonts w:ascii="仿宋_GB2312" w:hAnsi="Times New Roman" w:hint="eastAsia"/>
                <w:b/>
                <w:bCs/>
                <w:sz w:val="28"/>
                <w:szCs w:val="28"/>
              </w:rPr>
              <w:t>DS</w:t>
            </w:r>
            <w:r>
              <w:rPr>
                <w:rFonts w:ascii="仿宋_GB2312" w:hAnsi="Times New Roman" w:hint="eastAsia"/>
                <w:b/>
                <w:bCs/>
                <w:sz w:val="28"/>
                <w:szCs w:val="28"/>
                <w:vertAlign w:val="subscript"/>
              </w:rPr>
              <w:t>2</w:t>
            </w:r>
            <w:r>
              <w:rPr>
                <w:rFonts w:ascii="仿宋_GB2312" w:hAnsi="Times New Roman" w:hint="eastAsia"/>
                <w:b/>
                <w:bCs/>
                <w:sz w:val="28"/>
                <w:szCs w:val="28"/>
              </w:rPr>
              <w:t>-VAS</w:t>
            </w:r>
            <w:r>
              <w:rPr>
                <w:rFonts w:ascii="仿宋_GB2312" w:hAnsi="Times New Roman" w:hint="eastAsia"/>
                <w:b/>
                <w:bCs/>
                <w:sz w:val="28"/>
                <w:szCs w:val="28"/>
                <w:vertAlign w:val="subscript"/>
              </w:rPr>
              <w:t>C</w:t>
            </w:r>
            <w:r>
              <w:rPr>
                <w:rFonts w:ascii="仿宋_GB2312" w:hAnsi="Times New Roman" w:hint="eastAsia"/>
                <w:b/>
                <w:bCs/>
                <w:sz w:val="28"/>
                <w:szCs w:val="28"/>
              </w:rPr>
              <w:t>评分</w:t>
            </w:r>
          </w:p>
        </w:tc>
        <w:tc>
          <w:tcPr>
            <w:tcW w:w="1029" w:type="dxa"/>
            <w:vAlign w:val="center"/>
          </w:tcPr>
          <w:p w:rsidR="00654FAD" w:rsidRDefault="002B56DA">
            <w:pPr>
              <w:adjustRightInd w:val="0"/>
              <w:snapToGrid w:val="0"/>
              <w:jc w:val="center"/>
              <w:rPr>
                <w:rFonts w:ascii="仿宋_GB2312" w:hAnsi="Times New Roman"/>
                <w:b/>
                <w:bCs/>
                <w:sz w:val="28"/>
                <w:szCs w:val="28"/>
              </w:rPr>
            </w:pPr>
            <w:r>
              <w:rPr>
                <w:rFonts w:ascii="仿宋_GB2312" w:hAnsi="Times New Roman" w:hint="eastAsia"/>
                <w:b/>
                <w:bCs/>
                <w:sz w:val="28"/>
                <w:szCs w:val="28"/>
              </w:rPr>
              <w:t>评分</w:t>
            </w:r>
          </w:p>
        </w:tc>
      </w:tr>
      <w:tr w:rsidR="00654FAD">
        <w:trPr>
          <w:trHeight w:val="360"/>
          <w:jc w:val="center"/>
        </w:trPr>
        <w:tc>
          <w:tcPr>
            <w:tcW w:w="1114"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C</w:t>
            </w:r>
          </w:p>
        </w:tc>
        <w:tc>
          <w:tcPr>
            <w:tcW w:w="6701"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慢性心力衰竭、左心室收缩功能障碍</w:t>
            </w:r>
          </w:p>
        </w:tc>
        <w:tc>
          <w:tcPr>
            <w:tcW w:w="102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0"/>
          <w:jc w:val="center"/>
        </w:trPr>
        <w:tc>
          <w:tcPr>
            <w:tcW w:w="1114"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H</w:t>
            </w:r>
          </w:p>
        </w:tc>
        <w:tc>
          <w:tcPr>
            <w:tcW w:w="6701"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高血压</w:t>
            </w:r>
          </w:p>
        </w:tc>
        <w:tc>
          <w:tcPr>
            <w:tcW w:w="102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0"/>
          <w:jc w:val="center"/>
        </w:trPr>
        <w:tc>
          <w:tcPr>
            <w:tcW w:w="1114"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A</w:t>
            </w:r>
          </w:p>
        </w:tc>
        <w:tc>
          <w:tcPr>
            <w:tcW w:w="6701"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 75 岁</w:t>
            </w:r>
          </w:p>
        </w:tc>
        <w:tc>
          <w:tcPr>
            <w:tcW w:w="102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2</w:t>
            </w:r>
          </w:p>
        </w:tc>
      </w:tr>
      <w:tr w:rsidR="00654FAD">
        <w:trPr>
          <w:trHeight w:val="360"/>
          <w:jc w:val="center"/>
        </w:trPr>
        <w:tc>
          <w:tcPr>
            <w:tcW w:w="1114"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D</w:t>
            </w:r>
          </w:p>
        </w:tc>
        <w:tc>
          <w:tcPr>
            <w:tcW w:w="6701"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糖尿病</w:t>
            </w:r>
          </w:p>
        </w:tc>
        <w:tc>
          <w:tcPr>
            <w:tcW w:w="102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0"/>
          <w:jc w:val="center"/>
        </w:trPr>
        <w:tc>
          <w:tcPr>
            <w:tcW w:w="1114"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S</w:t>
            </w:r>
          </w:p>
        </w:tc>
        <w:tc>
          <w:tcPr>
            <w:tcW w:w="6701"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脑卒中、短暂性脑缺血发作、血栓栓塞史</w:t>
            </w:r>
          </w:p>
        </w:tc>
        <w:tc>
          <w:tcPr>
            <w:tcW w:w="102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2</w:t>
            </w:r>
          </w:p>
        </w:tc>
      </w:tr>
      <w:tr w:rsidR="00654FAD">
        <w:trPr>
          <w:trHeight w:val="360"/>
          <w:jc w:val="center"/>
        </w:trPr>
        <w:tc>
          <w:tcPr>
            <w:tcW w:w="1114"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V</w:t>
            </w:r>
          </w:p>
        </w:tc>
        <w:tc>
          <w:tcPr>
            <w:tcW w:w="6701"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血管疾病（外周动脉疾病、心肌梗死、主动脉斑块）</w:t>
            </w:r>
          </w:p>
        </w:tc>
        <w:tc>
          <w:tcPr>
            <w:tcW w:w="102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0"/>
          <w:jc w:val="center"/>
        </w:trPr>
        <w:tc>
          <w:tcPr>
            <w:tcW w:w="1114"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A</w:t>
            </w:r>
          </w:p>
        </w:tc>
        <w:tc>
          <w:tcPr>
            <w:tcW w:w="6701"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65-74 岁</w:t>
            </w:r>
          </w:p>
        </w:tc>
        <w:tc>
          <w:tcPr>
            <w:tcW w:w="102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0"/>
          <w:jc w:val="center"/>
        </w:trPr>
        <w:tc>
          <w:tcPr>
            <w:tcW w:w="1114"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Sc</w:t>
            </w:r>
          </w:p>
        </w:tc>
        <w:tc>
          <w:tcPr>
            <w:tcW w:w="6701"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女性</w:t>
            </w:r>
          </w:p>
        </w:tc>
        <w:tc>
          <w:tcPr>
            <w:tcW w:w="102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0"/>
          <w:jc w:val="center"/>
        </w:trPr>
        <w:tc>
          <w:tcPr>
            <w:tcW w:w="7815" w:type="dxa"/>
            <w:gridSpan w:val="2"/>
            <w:vAlign w:val="center"/>
          </w:tcPr>
          <w:p w:rsidR="00654FAD" w:rsidRDefault="002B56DA">
            <w:pPr>
              <w:adjustRightInd w:val="0"/>
              <w:snapToGrid w:val="0"/>
              <w:ind w:firstLineChars="49" w:firstLine="138"/>
              <w:rPr>
                <w:rFonts w:ascii="仿宋_GB2312" w:hAnsi="Times New Roman"/>
                <w:b/>
                <w:sz w:val="28"/>
                <w:szCs w:val="28"/>
              </w:rPr>
            </w:pPr>
            <w:r>
              <w:rPr>
                <w:rFonts w:ascii="仿宋_GB2312" w:hAnsi="Times New Roman" w:hint="eastAsia"/>
                <w:b/>
                <w:sz w:val="28"/>
                <w:szCs w:val="28"/>
              </w:rPr>
              <w:t>总分</w:t>
            </w:r>
          </w:p>
        </w:tc>
        <w:tc>
          <w:tcPr>
            <w:tcW w:w="102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9</w:t>
            </w:r>
          </w:p>
        </w:tc>
      </w:tr>
    </w:tbl>
    <w:p w:rsidR="00654FAD" w:rsidRDefault="00654FAD">
      <w:pPr>
        <w:autoSpaceDE w:val="0"/>
        <w:autoSpaceDN w:val="0"/>
        <w:adjustRightInd w:val="0"/>
        <w:snapToGrid w:val="0"/>
        <w:spacing w:line="360" w:lineRule="auto"/>
        <w:ind w:firstLineChars="200" w:firstLine="482"/>
        <w:rPr>
          <w:rFonts w:ascii="Times New Roman" w:hAnsi="Times New Roman"/>
          <w:b/>
          <w:color w:val="000000"/>
          <w:kern w:val="0"/>
          <w:sz w:val="24"/>
        </w:rPr>
      </w:pPr>
    </w:p>
    <w:p w:rsidR="00654FAD" w:rsidRDefault="002B56DA">
      <w:pPr>
        <w:autoSpaceDE w:val="0"/>
        <w:autoSpaceDN w:val="0"/>
        <w:adjustRightInd w:val="0"/>
        <w:snapToGrid w:val="0"/>
        <w:spacing w:line="360" w:lineRule="auto"/>
        <w:ind w:firstLineChars="200" w:firstLine="643"/>
        <w:rPr>
          <w:rFonts w:ascii="仿宋_GB2312" w:hAnsi="Times New Roman"/>
          <w:b/>
          <w:color w:val="000000"/>
          <w:kern w:val="0"/>
          <w:szCs w:val="32"/>
        </w:rPr>
      </w:pPr>
      <w:r>
        <w:rPr>
          <w:rFonts w:ascii="仿宋_GB2312" w:hAnsi="Times New Roman" w:hint="eastAsia"/>
          <w:b/>
          <w:color w:val="000000"/>
          <w:kern w:val="0"/>
          <w:szCs w:val="32"/>
        </w:rPr>
        <w:t>6.出血风险评分。</w:t>
      </w:r>
      <w:r>
        <w:rPr>
          <w:rFonts w:ascii="仿宋_GB2312" w:hAnsi="Times New Roman" w:hint="eastAsia"/>
          <w:bCs/>
          <w:color w:val="000000"/>
          <w:kern w:val="0"/>
          <w:szCs w:val="32"/>
        </w:rPr>
        <w:t>推荐使用HAS-BLED积分评估抗凝出血风险，≤2分为出血低风险，≥3分提示出血风险增高</w:t>
      </w:r>
      <w:r>
        <w:rPr>
          <w:rFonts w:ascii="仿宋_GB2312" w:hAnsi="Times New Roman" w:hint="eastAsia"/>
          <w:color w:val="000000"/>
          <w:kern w:val="0"/>
          <w:szCs w:val="32"/>
        </w:rPr>
        <w:t>（表4）</w:t>
      </w:r>
      <w:r>
        <w:rPr>
          <w:rFonts w:ascii="仿宋_GB2312" w:hAnsi="Times New Roman" w:hint="eastAsia"/>
          <w:bCs/>
          <w:color w:val="000000"/>
          <w:kern w:val="0"/>
          <w:szCs w:val="32"/>
        </w:rPr>
        <w:t>。对于评分≥3分者应注意防治增加出血风险的因素。</w:t>
      </w:r>
    </w:p>
    <w:p w:rsidR="00654FAD" w:rsidRDefault="002B56DA">
      <w:pPr>
        <w:autoSpaceDE w:val="0"/>
        <w:autoSpaceDN w:val="0"/>
        <w:adjustRightInd w:val="0"/>
        <w:spacing w:beforeLines="50" w:before="156" w:afterLines="50" w:after="156" w:line="360" w:lineRule="auto"/>
        <w:jc w:val="center"/>
        <w:rPr>
          <w:rFonts w:ascii="仿宋_GB2312" w:hAnsi="Times New Roman"/>
          <w:color w:val="000000"/>
          <w:kern w:val="0"/>
          <w:szCs w:val="32"/>
        </w:rPr>
      </w:pPr>
      <w:r>
        <w:rPr>
          <w:rFonts w:ascii="仿宋_GB2312" w:hAnsi="Times New Roman" w:hint="eastAsia"/>
          <w:color w:val="000000"/>
          <w:kern w:val="0"/>
          <w:szCs w:val="32"/>
        </w:rPr>
        <w:t>表4.房颤出血风险</w:t>
      </w:r>
      <w:r>
        <w:rPr>
          <w:rFonts w:ascii="仿宋_GB2312" w:hAnsi="Times New Roman" w:hint="eastAsia"/>
          <w:bCs/>
          <w:color w:val="000000"/>
          <w:kern w:val="0"/>
          <w:szCs w:val="32"/>
        </w:rPr>
        <w:t>HAS-BLED积分</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6786"/>
        <w:gridCol w:w="899"/>
      </w:tblGrid>
      <w:tr w:rsidR="00654FAD">
        <w:trPr>
          <w:trHeight w:val="365"/>
          <w:jc w:val="center"/>
        </w:trPr>
        <w:tc>
          <w:tcPr>
            <w:tcW w:w="1247" w:type="dxa"/>
            <w:vAlign w:val="center"/>
          </w:tcPr>
          <w:p w:rsidR="00654FAD" w:rsidRDefault="002B56DA">
            <w:pPr>
              <w:adjustRightInd w:val="0"/>
              <w:snapToGrid w:val="0"/>
              <w:jc w:val="center"/>
              <w:rPr>
                <w:rFonts w:ascii="仿宋_GB2312" w:hAnsi="Times New Roman"/>
                <w:b/>
                <w:bCs/>
                <w:sz w:val="28"/>
                <w:szCs w:val="28"/>
              </w:rPr>
            </w:pPr>
            <w:r>
              <w:rPr>
                <w:rFonts w:ascii="仿宋_GB2312" w:hAnsi="Times New Roman" w:hint="eastAsia"/>
                <w:b/>
                <w:bCs/>
                <w:sz w:val="28"/>
                <w:szCs w:val="28"/>
              </w:rPr>
              <w:t>缩写</w:t>
            </w:r>
          </w:p>
        </w:tc>
        <w:tc>
          <w:tcPr>
            <w:tcW w:w="6786" w:type="dxa"/>
          </w:tcPr>
          <w:p w:rsidR="00654FAD" w:rsidRDefault="002B56DA">
            <w:pPr>
              <w:adjustRightInd w:val="0"/>
              <w:snapToGrid w:val="0"/>
              <w:jc w:val="center"/>
              <w:rPr>
                <w:rFonts w:ascii="仿宋_GB2312" w:hAnsi="Times New Roman"/>
                <w:b/>
                <w:bCs/>
                <w:sz w:val="28"/>
                <w:szCs w:val="28"/>
              </w:rPr>
            </w:pPr>
            <w:r>
              <w:rPr>
                <w:rFonts w:ascii="仿宋_GB2312" w:hAnsi="Times New Roman" w:hint="eastAsia"/>
                <w:b/>
                <w:bCs/>
                <w:sz w:val="28"/>
                <w:szCs w:val="28"/>
              </w:rPr>
              <w:t>HAS-BLED评分</w:t>
            </w:r>
          </w:p>
        </w:tc>
        <w:tc>
          <w:tcPr>
            <w:tcW w:w="899" w:type="dxa"/>
            <w:vAlign w:val="center"/>
          </w:tcPr>
          <w:p w:rsidR="00654FAD" w:rsidRDefault="002B56DA">
            <w:pPr>
              <w:adjustRightInd w:val="0"/>
              <w:snapToGrid w:val="0"/>
              <w:jc w:val="center"/>
              <w:rPr>
                <w:rFonts w:ascii="仿宋_GB2312" w:hAnsi="Times New Roman"/>
                <w:b/>
                <w:bCs/>
                <w:sz w:val="28"/>
                <w:szCs w:val="28"/>
              </w:rPr>
            </w:pPr>
            <w:r>
              <w:rPr>
                <w:rFonts w:ascii="仿宋_GB2312" w:hAnsi="Times New Roman" w:hint="eastAsia"/>
                <w:b/>
                <w:bCs/>
                <w:sz w:val="28"/>
                <w:szCs w:val="28"/>
              </w:rPr>
              <w:t>评分</w:t>
            </w:r>
          </w:p>
        </w:tc>
      </w:tr>
      <w:tr w:rsidR="00654FAD">
        <w:trPr>
          <w:trHeight w:val="365"/>
          <w:jc w:val="center"/>
        </w:trPr>
        <w:tc>
          <w:tcPr>
            <w:tcW w:w="1247"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H</w:t>
            </w:r>
          </w:p>
        </w:tc>
        <w:tc>
          <w:tcPr>
            <w:tcW w:w="6786"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高血压（</w:t>
            </w:r>
            <w:r>
              <w:rPr>
                <w:rFonts w:ascii="仿宋_GB2312" w:hAnsi="Times New Roman" w:hint="eastAsia"/>
                <w:kern w:val="0"/>
                <w:sz w:val="28"/>
                <w:szCs w:val="28"/>
              </w:rPr>
              <w:t>收缩压＞160mmHg</w:t>
            </w:r>
            <w:r>
              <w:rPr>
                <w:rFonts w:ascii="仿宋_GB2312" w:hAnsi="Times New Roman" w:hint="eastAsia"/>
                <w:sz w:val="28"/>
                <w:szCs w:val="28"/>
              </w:rPr>
              <w:t>）</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95"/>
          <w:jc w:val="center"/>
        </w:trPr>
        <w:tc>
          <w:tcPr>
            <w:tcW w:w="1247" w:type="dxa"/>
            <w:vMerge w:val="restart"/>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A</w:t>
            </w:r>
          </w:p>
        </w:tc>
        <w:tc>
          <w:tcPr>
            <w:tcW w:w="6786"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肝功能异常（</w:t>
            </w:r>
            <w:r>
              <w:rPr>
                <w:rFonts w:ascii="仿宋_GB2312" w:hAnsi="Times New Roman" w:hint="eastAsia"/>
                <w:kern w:val="0"/>
                <w:sz w:val="28"/>
                <w:szCs w:val="28"/>
              </w:rPr>
              <w:t>肝纤维化、胆红素＞2倍、ALT＞3倍</w:t>
            </w:r>
            <w:r>
              <w:rPr>
                <w:rFonts w:ascii="仿宋_GB2312" w:hAnsi="Times New Roman" w:hint="eastAsia"/>
                <w:sz w:val="28"/>
                <w:szCs w:val="28"/>
              </w:rPr>
              <w:t>）</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03"/>
          <w:jc w:val="center"/>
        </w:trPr>
        <w:tc>
          <w:tcPr>
            <w:tcW w:w="1247" w:type="dxa"/>
            <w:vMerge/>
            <w:vAlign w:val="center"/>
          </w:tcPr>
          <w:p w:rsidR="00654FAD" w:rsidRDefault="00654FAD">
            <w:pPr>
              <w:adjustRightInd w:val="0"/>
              <w:snapToGrid w:val="0"/>
              <w:jc w:val="center"/>
              <w:rPr>
                <w:rFonts w:ascii="仿宋_GB2312" w:hAnsi="Times New Roman"/>
                <w:sz w:val="28"/>
                <w:szCs w:val="28"/>
              </w:rPr>
            </w:pPr>
          </w:p>
        </w:tc>
        <w:tc>
          <w:tcPr>
            <w:tcW w:w="6786"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肾功能异常（</w:t>
            </w:r>
            <w:r>
              <w:rPr>
                <w:rFonts w:ascii="仿宋_GB2312" w:hAnsi="Times New Roman" w:hint="eastAsia"/>
                <w:kern w:val="0"/>
                <w:sz w:val="28"/>
                <w:szCs w:val="28"/>
              </w:rPr>
              <w:t>慢性透析、肾移植、Cr≥200μmol/L</w:t>
            </w:r>
            <w:r>
              <w:rPr>
                <w:rFonts w:ascii="仿宋_GB2312" w:hAnsi="Times New Roman" w:hint="eastAsia"/>
                <w:sz w:val="28"/>
                <w:szCs w:val="28"/>
              </w:rPr>
              <w:t>）</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5"/>
          <w:jc w:val="center"/>
        </w:trPr>
        <w:tc>
          <w:tcPr>
            <w:tcW w:w="1247"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S</w:t>
            </w:r>
          </w:p>
        </w:tc>
        <w:tc>
          <w:tcPr>
            <w:tcW w:w="6786"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脑卒中</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5"/>
          <w:jc w:val="center"/>
        </w:trPr>
        <w:tc>
          <w:tcPr>
            <w:tcW w:w="1247"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B</w:t>
            </w:r>
          </w:p>
        </w:tc>
        <w:tc>
          <w:tcPr>
            <w:tcW w:w="6786"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出血（</w:t>
            </w:r>
            <w:r>
              <w:rPr>
                <w:rFonts w:ascii="仿宋_GB2312" w:hAnsi="Times New Roman" w:hint="eastAsia"/>
                <w:kern w:val="0"/>
                <w:sz w:val="28"/>
                <w:szCs w:val="28"/>
              </w:rPr>
              <w:t>出血史、出血倾向</w:t>
            </w:r>
            <w:r>
              <w:rPr>
                <w:rFonts w:ascii="仿宋_GB2312" w:hAnsi="Times New Roman" w:hint="eastAsia"/>
                <w:sz w:val="28"/>
                <w:szCs w:val="28"/>
              </w:rPr>
              <w:t>）</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5"/>
          <w:jc w:val="center"/>
        </w:trPr>
        <w:tc>
          <w:tcPr>
            <w:tcW w:w="1247"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L</w:t>
            </w:r>
          </w:p>
        </w:tc>
        <w:tc>
          <w:tcPr>
            <w:tcW w:w="6786"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INR值易波动（</w:t>
            </w:r>
            <w:r>
              <w:rPr>
                <w:rFonts w:ascii="仿宋_GB2312" w:hAnsi="Times New Roman" w:hint="eastAsia"/>
                <w:kern w:val="0"/>
                <w:sz w:val="28"/>
                <w:szCs w:val="28"/>
              </w:rPr>
              <w:t>INR不稳定、在治疗窗内的时间＜60%</w:t>
            </w:r>
            <w:r>
              <w:rPr>
                <w:rFonts w:ascii="仿宋_GB2312" w:hAnsi="Times New Roman" w:hint="eastAsia"/>
                <w:sz w:val="28"/>
                <w:szCs w:val="28"/>
              </w:rPr>
              <w:t>）</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5"/>
          <w:jc w:val="center"/>
        </w:trPr>
        <w:tc>
          <w:tcPr>
            <w:tcW w:w="1247"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E</w:t>
            </w:r>
          </w:p>
        </w:tc>
        <w:tc>
          <w:tcPr>
            <w:tcW w:w="6786"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老年（</w:t>
            </w:r>
            <w:r>
              <w:rPr>
                <w:rFonts w:ascii="仿宋_GB2312" w:hAnsi="Times New Roman" w:hint="eastAsia"/>
                <w:kern w:val="0"/>
                <w:sz w:val="28"/>
                <w:szCs w:val="28"/>
              </w:rPr>
              <w:t>＞</w:t>
            </w:r>
            <w:r>
              <w:rPr>
                <w:rFonts w:ascii="仿宋_GB2312" w:hAnsi="Times New Roman" w:hint="eastAsia"/>
                <w:sz w:val="28"/>
                <w:szCs w:val="28"/>
              </w:rPr>
              <w:t>65岁）</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60"/>
          <w:jc w:val="center"/>
        </w:trPr>
        <w:tc>
          <w:tcPr>
            <w:tcW w:w="1247" w:type="dxa"/>
            <w:vMerge w:val="restart"/>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D</w:t>
            </w:r>
          </w:p>
        </w:tc>
        <w:tc>
          <w:tcPr>
            <w:tcW w:w="6786"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药物（</w:t>
            </w:r>
            <w:r>
              <w:rPr>
                <w:rFonts w:ascii="仿宋_GB2312" w:hAnsi="Times New Roman" w:hint="eastAsia"/>
                <w:kern w:val="0"/>
                <w:sz w:val="28"/>
                <w:szCs w:val="28"/>
              </w:rPr>
              <w:t>合并应用抗血小板药物、非甾体类抗炎药</w:t>
            </w:r>
            <w:r>
              <w:rPr>
                <w:rFonts w:ascii="仿宋_GB2312" w:hAnsi="Times New Roman" w:hint="eastAsia"/>
                <w:sz w:val="28"/>
                <w:szCs w:val="28"/>
              </w:rPr>
              <w:t>）</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37"/>
          <w:jc w:val="center"/>
        </w:trPr>
        <w:tc>
          <w:tcPr>
            <w:tcW w:w="1247" w:type="dxa"/>
            <w:vMerge/>
          </w:tcPr>
          <w:p w:rsidR="00654FAD" w:rsidRDefault="00654FAD">
            <w:pPr>
              <w:adjustRightInd w:val="0"/>
              <w:snapToGrid w:val="0"/>
              <w:rPr>
                <w:rFonts w:ascii="仿宋_GB2312" w:hAnsi="Times New Roman"/>
                <w:sz w:val="28"/>
                <w:szCs w:val="28"/>
              </w:rPr>
            </w:pPr>
          </w:p>
        </w:tc>
        <w:tc>
          <w:tcPr>
            <w:tcW w:w="6786" w:type="dxa"/>
            <w:vAlign w:val="center"/>
          </w:tcPr>
          <w:p w:rsidR="00654FAD" w:rsidRDefault="002B56DA">
            <w:pPr>
              <w:adjustRightInd w:val="0"/>
              <w:snapToGrid w:val="0"/>
              <w:rPr>
                <w:rFonts w:ascii="仿宋_GB2312" w:hAnsi="Times New Roman"/>
                <w:sz w:val="28"/>
                <w:szCs w:val="28"/>
              </w:rPr>
            </w:pPr>
            <w:r>
              <w:rPr>
                <w:rFonts w:ascii="仿宋_GB2312" w:hAnsi="Times New Roman" w:hint="eastAsia"/>
                <w:sz w:val="28"/>
                <w:szCs w:val="28"/>
              </w:rPr>
              <w:t>嗜酒（</w:t>
            </w:r>
            <w:r>
              <w:rPr>
                <w:rFonts w:ascii="仿宋_GB2312" w:hAnsi="Times New Roman" w:hint="eastAsia"/>
                <w:kern w:val="0"/>
                <w:sz w:val="28"/>
                <w:szCs w:val="28"/>
              </w:rPr>
              <w:t>≥</w:t>
            </w:r>
            <w:r>
              <w:rPr>
                <w:rFonts w:ascii="仿宋_GB2312" w:hAnsi="Times New Roman" w:hint="eastAsia"/>
                <w:sz w:val="28"/>
                <w:szCs w:val="28"/>
              </w:rPr>
              <w:t>8个饮酒量/周）</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1</w:t>
            </w:r>
          </w:p>
        </w:tc>
      </w:tr>
      <w:tr w:rsidR="00654FAD">
        <w:trPr>
          <w:trHeight w:val="337"/>
          <w:jc w:val="center"/>
        </w:trPr>
        <w:tc>
          <w:tcPr>
            <w:tcW w:w="8033" w:type="dxa"/>
            <w:gridSpan w:val="2"/>
          </w:tcPr>
          <w:p w:rsidR="00654FAD" w:rsidRDefault="002B56DA">
            <w:pPr>
              <w:adjustRightInd w:val="0"/>
              <w:snapToGrid w:val="0"/>
              <w:ind w:firstLineChars="49" w:firstLine="138"/>
              <w:rPr>
                <w:rFonts w:ascii="仿宋_GB2312" w:hAnsi="Times New Roman"/>
                <w:b/>
                <w:sz w:val="28"/>
                <w:szCs w:val="28"/>
              </w:rPr>
            </w:pPr>
            <w:r>
              <w:rPr>
                <w:rFonts w:ascii="仿宋_GB2312" w:hAnsi="Times New Roman" w:hint="eastAsia"/>
                <w:b/>
                <w:sz w:val="28"/>
                <w:szCs w:val="28"/>
              </w:rPr>
              <w:t>总分</w:t>
            </w:r>
          </w:p>
        </w:tc>
        <w:tc>
          <w:tcPr>
            <w:tcW w:w="899" w:type="dxa"/>
            <w:vAlign w:val="center"/>
          </w:tcPr>
          <w:p w:rsidR="00654FAD" w:rsidRDefault="002B56DA">
            <w:pPr>
              <w:adjustRightInd w:val="0"/>
              <w:snapToGrid w:val="0"/>
              <w:jc w:val="center"/>
              <w:rPr>
                <w:rFonts w:ascii="仿宋_GB2312" w:hAnsi="Times New Roman"/>
                <w:sz w:val="28"/>
                <w:szCs w:val="28"/>
              </w:rPr>
            </w:pPr>
            <w:r>
              <w:rPr>
                <w:rFonts w:ascii="仿宋_GB2312" w:hAnsi="Times New Roman" w:hint="eastAsia"/>
                <w:sz w:val="28"/>
                <w:szCs w:val="28"/>
              </w:rPr>
              <w:t>9</w:t>
            </w:r>
          </w:p>
        </w:tc>
      </w:tr>
    </w:tbl>
    <w:p w:rsidR="00654FAD" w:rsidRDefault="00654FAD">
      <w:pPr>
        <w:autoSpaceDE w:val="0"/>
        <w:autoSpaceDN w:val="0"/>
        <w:adjustRightInd w:val="0"/>
        <w:snapToGrid w:val="0"/>
        <w:spacing w:line="360" w:lineRule="auto"/>
        <w:ind w:firstLineChars="200" w:firstLine="643"/>
        <w:rPr>
          <w:rFonts w:ascii="仿宋_GB2312" w:hAnsi="Times New Roman"/>
          <w:b/>
          <w:bCs/>
          <w:color w:val="000000"/>
          <w:kern w:val="0"/>
          <w:szCs w:val="32"/>
        </w:rPr>
      </w:pP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7.应用中医药治疗时，应全面采集中医四诊信息，做出中医证候诊断以辨证施治。</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楷体_GB2312" w:eastAsia="楷体_GB2312" w:hAnsi="宋体" w:hint="eastAsia"/>
          <w:b/>
          <w:bCs/>
          <w:color w:val="000000"/>
          <w:kern w:val="0"/>
          <w:szCs w:val="32"/>
        </w:rPr>
        <w:t>（</w:t>
      </w:r>
      <w:r>
        <w:rPr>
          <w:rFonts w:ascii="楷体_GB2312" w:eastAsia="楷体_GB2312" w:hAnsi="宋体"/>
          <w:b/>
          <w:bCs/>
          <w:color w:val="000000"/>
          <w:kern w:val="0"/>
          <w:szCs w:val="32"/>
        </w:rPr>
        <w:t>三</w:t>
      </w:r>
      <w:r>
        <w:rPr>
          <w:rFonts w:ascii="楷体_GB2312" w:eastAsia="楷体_GB2312" w:hAnsi="宋体" w:hint="eastAsia"/>
          <w:b/>
          <w:bCs/>
          <w:color w:val="000000"/>
          <w:kern w:val="0"/>
          <w:szCs w:val="32"/>
        </w:rPr>
        <w:t>）基础疾病评估。</w:t>
      </w:r>
      <w:r>
        <w:rPr>
          <w:rFonts w:ascii="仿宋_GB2312" w:hAnsi="Times New Roman" w:hint="eastAsia"/>
          <w:color w:val="000000"/>
          <w:kern w:val="0"/>
          <w:szCs w:val="32"/>
        </w:rPr>
        <w:t>常见的基础疾病包括心血管疾病</w:t>
      </w:r>
      <w:r>
        <w:rPr>
          <w:rFonts w:ascii="仿宋_GB2312" w:hAnsi="宋体" w:hint="eastAsia"/>
          <w:color w:val="000000"/>
          <w:kern w:val="0"/>
          <w:szCs w:val="32"/>
        </w:rPr>
        <w:t>（心力衰竭、</w:t>
      </w:r>
      <w:r>
        <w:rPr>
          <w:rFonts w:ascii="仿宋_GB2312" w:hAnsi="Times New Roman" w:hint="eastAsia"/>
          <w:color w:val="000000"/>
          <w:kern w:val="0"/>
          <w:szCs w:val="32"/>
        </w:rPr>
        <w:t>冠心病、心脏瓣膜病变、高血压、血脂异常、血管疾病等</w:t>
      </w:r>
      <w:r>
        <w:rPr>
          <w:rFonts w:ascii="仿宋_GB2312" w:hAnsi="宋体" w:hint="eastAsia"/>
          <w:color w:val="000000"/>
          <w:kern w:val="0"/>
          <w:szCs w:val="32"/>
        </w:rPr>
        <w:t>）</w:t>
      </w:r>
      <w:r>
        <w:rPr>
          <w:rFonts w:ascii="仿宋_GB2312" w:hAnsi="Times New Roman" w:hint="eastAsia"/>
          <w:color w:val="000000"/>
          <w:kern w:val="0"/>
          <w:szCs w:val="32"/>
        </w:rPr>
        <w:t>和非心血管疾病（慢性肺疾病、糖尿病、慢性肾脏病、甲状腺功能异常、睡眠呼吸障碍等），需要尽早识别，合理管理。</w:t>
      </w:r>
    </w:p>
    <w:p w:rsidR="00654FAD" w:rsidRDefault="002B56DA">
      <w:pPr>
        <w:autoSpaceDE w:val="0"/>
        <w:autoSpaceDN w:val="0"/>
        <w:adjustRightInd w:val="0"/>
        <w:snapToGrid w:val="0"/>
        <w:spacing w:line="360" w:lineRule="auto"/>
        <w:ind w:firstLineChars="200" w:firstLine="640"/>
        <w:rPr>
          <w:rFonts w:ascii="黑体" w:eastAsia="黑体" w:hAnsi="黑体"/>
          <w:color w:val="000000"/>
          <w:kern w:val="0"/>
          <w:szCs w:val="32"/>
        </w:rPr>
      </w:pPr>
      <w:r>
        <w:rPr>
          <w:rFonts w:ascii="黑体" w:eastAsia="黑体" w:hAnsi="黑体" w:hint="eastAsia"/>
          <w:color w:val="000000"/>
          <w:kern w:val="0"/>
          <w:szCs w:val="32"/>
        </w:rPr>
        <w:t>四、房颤的治疗</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楷体_GB2312" w:eastAsia="楷体_GB2312" w:hAnsi="Times New Roman" w:hint="eastAsia"/>
          <w:b/>
          <w:bCs/>
          <w:color w:val="000000"/>
          <w:kern w:val="0"/>
          <w:szCs w:val="32"/>
        </w:rPr>
        <w:t>（一）治疗目标。</w:t>
      </w:r>
      <w:r>
        <w:rPr>
          <w:rFonts w:ascii="仿宋_GB2312" w:hAnsi="Times New Roman" w:hint="eastAsia"/>
          <w:bCs/>
          <w:color w:val="000000"/>
          <w:kern w:val="0"/>
          <w:szCs w:val="32"/>
        </w:rPr>
        <w:t>控制心脏节律、控制心室率、预防卒中等栓塞事件，以</w:t>
      </w:r>
      <w:r>
        <w:rPr>
          <w:rFonts w:ascii="仿宋_GB2312" w:hAnsi="Times New Roman" w:hint="eastAsia"/>
          <w:color w:val="000000"/>
          <w:kern w:val="0"/>
          <w:szCs w:val="32"/>
        </w:rPr>
        <w:t>改善临床症状、提高生活质量，降低致残、致死率。</w:t>
      </w:r>
    </w:p>
    <w:p w:rsidR="00654FAD" w:rsidRDefault="002B56DA">
      <w:pPr>
        <w:autoSpaceDE w:val="0"/>
        <w:autoSpaceDN w:val="0"/>
        <w:adjustRightInd w:val="0"/>
        <w:snapToGrid w:val="0"/>
        <w:spacing w:line="360" w:lineRule="auto"/>
        <w:ind w:firstLineChars="200" w:firstLine="643"/>
        <w:rPr>
          <w:rFonts w:ascii="楷体_GB2312" w:eastAsia="楷体_GB2312" w:hAnsi="Times New Roman"/>
          <w:color w:val="000000"/>
          <w:kern w:val="0"/>
          <w:szCs w:val="32"/>
        </w:rPr>
      </w:pPr>
      <w:r>
        <w:rPr>
          <w:rFonts w:ascii="楷体_GB2312" w:eastAsia="楷体_GB2312" w:hAnsi="Times New Roman" w:hint="eastAsia"/>
          <w:b/>
          <w:bCs/>
          <w:color w:val="000000"/>
          <w:kern w:val="0"/>
          <w:szCs w:val="32"/>
        </w:rPr>
        <w:t>（二）一般治疗。</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1.管理基础疾病及危险因素。</w:t>
      </w:r>
      <w:r>
        <w:rPr>
          <w:rFonts w:ascii="仿宋_GB2312" w:hAnsi="Times New Roman" w:hint="eastAsia"/>
          <w:color w:val="000000"/>
          <w:kern w:val="0"/>
          <w:szCs w:val="32"/>
        </w:rPr>
        <w:t>各级医疗机构均应合理管理基础疾病，有效控制危险因素。</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2.预防卒中。</w:t>
      </w:r>
      <w:r>
        <w:rPr>
          <w:rFonts w:ascii="仿宋_GB2312" w:hAnsi="Times New Roman" w:hint="eastAsia"/>
          <w:bCs/>
          <w:color w:val="000000"/>
          <w:kern w:val="0"/>
          <w:szCs w:val="32"/>
        </w:rPr>
        <w:t>包括规范药物抗凝治疗，左心耳封堵/夹闭/切除</w:t>
      </w:r>
      <w:r>
        <w:rPr>
          <w:rFonts w:ascii="仿宋_GB2312" w:hAnsi="Times New Roman" w:hint="eastAsia"/>
          <w:b/>
          <w:bCs/>
          <w:color w:val="000000"/>
          <w:kern w:val="0"/>
          <w:szCs w:val="32"/>
        </w:rPr>
        <w:t>。</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（1）药物治疗。服用华法林时，应定期监测国际标准化比值（international normalized ratio,INR），其目标值为2.0-3.0。服用新型口服抗凝药（NOAC），包括达比加群、利伐沙班、艾多沙班等。用药前应评估肝肾功能及凝血功能。</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（2）经皮左心耳封堵/夹闭/切除。对于CHA</w:t>
      </w:r>
      <w:r>
        <w:rPr>
          <w:rFonts w:ascii="仿宋_GB2312" w:hAnsi="Times New Roman" w:hint="eastAsia"/>
          <w:color w:val="000000"/>
          <w:kern w:val="0"/>
          <w:szCs w:val="32"/>
          <w:vertAlign w:val="subscript"/>
        </w:rPr>
        <w:t>2</w:t>
      </w:r>
      <w:r>
        <w:rPr>
          <w:rFonts w:ascii="仿宋_GB2312" w:hAnsi="Times New Roman" w:hint="eastAsia"/>
          <w:color w:val="000000"/>
          <w:kern w:val="0"/>
          <w:szCs w:val="32"/>
        </w:rPr>
        <w:t>DS</w:t>
      </w:r>
      <w:r>
        <w:rPr>
          <w:rFonts w:ascii="仿宋_GB2312" w:hAnsi="Times New Roman" w:hint="eastAsia"/>
          <w:color w:val="000000"/>
          <w:kern w:val="0"/>
          <w:szCs w:val="32"/>
          <w:vertAlign w:val="subscript"/>
        </w:rPr>
        <w:t>2</w:t>
      </w:r>
      <w:r>
        <w:rPr>
          <w:rFonts w:ascii="仿宋_GB2312" w:hAnsi="Times New Roman" w:hint="eastAsia"/>
          <w:color w:val="000000"/>
          <w:kern w:val="0"/>
          <w:szCs w:val="32"/>
        </w:rPr>
        <w:t>-VAS</w:t>
      </w:r>
      <w:r>
        <w:rPr>
          <w:rFonts w:ascii="仿宋_GB2312" w:hAnsi="Times New Roman" w:hint="eastAsia"/>
          <w:color w:val="000000"/>
          <w:kern w:val="0"/>
          <w:szCs w:val="32"/>
          <w:vertAlign w:val="subscript"/>
        </w:rPr>
        <w:t>C</w:t>
      </w:r>
      <w:r>
        <w:rPr>
          <w:rFonts w:ascii="仿宋_GB2312" w:hAnsi="Times New Roman" w:hint="eastAsia"/>
          <w:color w:val="000000"/>
          <w:kern w:val="0"/>
          <w:szCs w:val="32"/>
        </w:rPr>
        <w:t>评分≥２的非瓣膜性房颤患者，具有下列情况之一，推荐经皮左心耳封堵/夹闭/切除术预防血栓栓塞事件：</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①</w:t>
      </w:r>
      <w:r>
        <w:rPr>
          <w:rFonts w:ascii="仿宋_GB2312" w:hAnsi="Times New Roman" w:hint="eastAsia"/>
          <w:color w:val="000000"/>
          <w:kern w:val="0"/>
          <w:szCs w:val="32"/>
        </w:rPr>
        <w:t>不适合长期规范抗凝治疗；</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②</w:t>
      </w:r>
      <w:r>
        <w:rPr>
          <w:rFonts w:ascii="仿宋_GB2312" w:hAnsi="Times New Roman" w:hint="eastAsia"/>
          <w:color w:val="000000"/>
          <w:kern w:val="0"/>
          <w:szCs w:val="32"/>
        </w:rPr>
        <w:t>长期规范抗凝治疗的基础上仍发生血栓栓塞事件；</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③</w:t>
      </w:r>
      <w:r>
        <w:rPr>
          <w:rFonts w:ascii="仿宋_GB2312" w:hAnsi="Times New Roman" w:hint="eastAsia"/>
          <w:color w:val="000000"/>
          <w:kern w:val="0"/>
          <w:szCs w:val="32"/>
        </w:rPr>
        <w:t>HAS-BLED 评分≥３。</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3.控制心室率。</w:t>
      </w:r>
      <w:r>
        <w:rPr>
          <w:rFonts w:ascii="仿宋_GB2312" w:hAnsi="Times New Roman" w:hint="eastAsia"/>
          <w:color w:val="000000"/>
          <w:kern w:val="0"/>
          <w:szCs w:val="32"/>
        </w:rPr>
        <w:t>急性快心室率的房颤患者，应评估心室率增快的原因，根据患者临床症状 、体征、左室射血分数（LVEF）和血流动力学特点选择合适药物。长期心室率控制，包括长期口服药物及房室结消融＋永久性心脏起搏器植入。</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（1）药物治疗。药物选择流程如图2。</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①</w:t>
      </w:r>
      <w:r>
        <w:rPr>
          <w:rFonts w:ascii="仿宋_GB2312" w:hAnsi="Times New Roman" w:hint="eastAsia"/>
          <w:color w:val="000000"/>
          <w:kern w:val="0"/>
          <w:szCs w:val="32"/>
        </w:rPr>
        <w:t>β受体阻滞剂：酒石酸美托洛尔、琥珀酸美托洛尔、阿替洛尔、艾司洛尔、普萘洛尔、纳多洛尔、卡维地洛、比索洛尔。</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②</w:t>
      </w:r>
      <w:r>
        <w:rPr>
          <w:rFonts w:ascii="仿宋_GB2312" w:hAnsi="Times New Roman" w:hint="eastAsia"/>
          <w:color w:val="000000"/>
          <w:kern w:val="0"/>
          <w:szCs w:val="32"/>
        </w:rPr>
        <w:t>非二氢吡啶类钙离子拮抗剂：维拉帕米、地尔硫卓。</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宋体" w:cs="宋体" w:hint="eastAsia"/>
          <w:color w:val="000000"/>
          <w:kern w:val="0"/>
          <w:szCs w:val="32"/>
        </w:rPr>
        <w:t>③</w:t>
      </w:r>
      <w:r>
        <w:rPr>
          <w:rFonts w:ascii="仿宋_GB2312" w:hAnsi="Times New Roman" w:hint="eastAsia"/>
          <w:color w:val="000000"/>
          <w:kern w:val="0"/>
          <w:szCs w:val="32"/>
        </w:rPr>
        <w:t>洋地黄类：地高辛、西地兰。</w:t>
      </w:r>
    </w:p>
    <w:p w:rsidR="00654FAD" w:rsidRDefault="002B56DA">
      <w:pPr>
        <w:adjustRightInd w:val="0"/>
        <w:snapToGrid w:val="0"/>
        <w:spacing w:line="360" w:lineRule="auto"/>
        <w:ind w:firstLineChars="200" w:firstLine="640"/>
        <w:rPr>
          <w:rFonts w:ascii="仿宋_GB2312" w:hAnsi="宋体" w:cs="宋体"/>
          <w:color w:val="000000"/>
          <w:kern w:val="0"/>
          <w:szCs w:val="32"/>
        </w:rPr>
      </w:pPr>
      <w:r>
        <w:rPr>
          <w:rFonts w:ascii="仿宋_GB2312" w:hAnsi="宋体" w:cs="宋体" w:hint="eastAsia"/>
          <w:color w:val="000000"/>
          <w:kern w:val="0"/>
          <w:szCs w:val="32"/>
        </w:rPr>
        <w:t>④</w:t>
      </w:r>
      <w:r>
        <w:rPr>
          <w:rFonts w:ascii="仿宋_GB2312" w:hAnsi="Times New Roman" w:hint="eastAsia"/>
          <w:color w:val="000000"/>
          <w:kern w:val="0"/>
          <w:szCs w:val="32"/>
        </w:rPr>
        <w:t>胺碘酮</w:t>
      </w:r>
      <w:r>
        <w:rPr>
          <w:rFonts w:ascii="仿宋_GB2312" w:hAnsi="宋体" w:cs="宋体" w:hint="eastAsia"/>
          <w:color w:val="000000"/>
          <w:kern w:val="0"/>
          <w:szCs w:val="32"/>
        </w:rPr>
        <w:t>。</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（2）房室结消融+植入永久起搏器。当药物不能有效控制心室率且症状严重不能改善时，消融房室结并植入永久性起搏器可作为控制心室率的选择治疗策略。</w:t>
      </w:r>
    </w:p>
    <w:p w:rsidR="00654FAD" w:rsidRDefault="002B56DA">
      <w:pPr>
        <w:spacing w:line="360" w:lineRule="auto"/>
        <w:jc w:val="center"/>
        <w:rPr>
          <w:rFonts w:ascii="Times New Roman" w:hAnsi="Times New Roman"/>
          <w:sz w:val="24"/>
        </w:rPr>
      </w:pPr>
      <w:r>
        <w:rPr>
          <w:rFonts w:ascii="Times New Roman" w:hAnsi="Times New Roman"/>
          <w:noProof/>
          <w:sz w:val="24"/>
        </w:rPr>
        <w:drawing>
          <wp:inline distT="0" distB="0" distL="114300" distR="114300">
            <wp:extent cx="4284980" cy="3108960"/>
            <wp:effectExtent l="0" t="0" r="127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284980" cy="3108960"/>
                    </a:xfrm>
                    <a:prstGeom prst="rect">
                      <a:avLst/>
                    </a:prstGeom>
                    <a:noFill/>
                    <a:ln w="9525">
                      <a:noFill/>
                      <a:miter/>
                    </a:ln>
                  </pic:spPr>
                </pic:pic>
              </a:graphicData>
            </a:graphic>
          </wp:inline>
        </w:drawing>
      </w:r>
    </w:p>
    <w:p w:rsidR="00654FAD" w:rsidRDefault="002B56DA">
      <w:pPr>
        <w:spacing w:beforeLines="50" w:before="156" w:afterLines="50" w:after="156" w:line="360" w:lineRule="auto"/>
        <w:jc w:val="center"/>
        <w:rPr>
          <w:rFonts w:ascii="仿宋_GB2312" w:hAnsi="Times New Roman"/>
          <w:szCs w:val="32"/>
        </w:rPr>
      </w:pPr>
      <w:r>
        <w:rPr>
          <w:rFonts w:ascii="仿宋_GB2312" w:hAnsi="Times New Roman" w:hint="eastAsia"/>
          <w:szCs w:val="32"/>
        </w:rPr>
        <w:t>图2.房颤心室率控制的药物选择流程</w:t>
      </w:r>
    </w:p>
    <w:p w:rsidR="00654FAD" w:rsidRDefault="002B56DA">
      <w:pPr>
        <w:adjustRightInd w:val="0"/>
        <w:snapToGrid w:val="0"/>
        <w:spacing w:line="360" w:lineRule="auto"/>
        <w:ind w:firstLineChars="200" w:firstLine="480"/>
        <w:rPr>
          <w:rFonts w:ascii="仿宋_GB2312" w:hAnsi="Times New Roman"/>
          <w:color w:val="000000"/>
          <w:kern w:val="0"/>
          <w:sz w:val="24"/>
        </w:rPr>
      </w:pPr>
      <w:r>
        <w:rPr>
          <w:rFonts w:ascii="仿宋_GB2312" w:hAnsi="Times New Roman" w:hint="eastAsia"/>
          <w:sz w:val="24"/>
        </w:rPr>
        <w:t>（引自心房颤动：目前的认识和治疗的建议-2018，中国心脏起搏与心电生理杂志,2018,32(4):315-368）</w:t>
      </w:r>
    </w:p>
    <w:p w:rsidR="00654FAD" w:rsidRDefault="002B56DA">
      <w:pPr>
        <w:spacing w:line="360" w:lineRule="auto"/>
        <w:ind w:firstLineChars="200" w:firstLine="643"/>
        <w:rPr>
          <w:rFonts w:ascii="仿宋_GB2312" w:hAnsi="Times New Roman"/>
          <w:kern w:val="0"/>
          <w:szCs w:val="32"/>
        </w:rPr>
      </w:pPr>
      <w:r>
        <w:rPr>
          <w:rFonts w:ascii="仿宋_GB2312" w:hAnsi="Times New Roman" w:hint="eastAsia"/>
          <w:b/>
          <w:bCs/>
          <w:color w:val="000000"/>
          <w:kern w:val="0"/>
          <w:szCs w:val="32"/>
        </w:rPr>
        <w:t>4.控制心脏节律。</w:t>
      </w:r>
      <w:r>
        <w:rPr>
          <w:rFonts w:ascii="仿宋_GB2312" w:hAnsi="Times New Roman" w:hint="eastAsia"/>
          <w:kern w:val="0"/>
          <w:szCs w:val="32"/>
        </w:rPr>
        <w:t>恢复和维持窦性心律是房颤治疗的重要目标，包括心脏电复律、抗心律失常药物治疗、导管消融治疗等。电复律存在血栓栓塞的风险，复律前需确认心房内是否有血栓，并应依据房颤持续时间而采用恰当的抗凝。近期发作的房颤节律控制治疗流程如图3。 不具备手术治疗能力的医疗机构如遇符合手术适应证者应及时启动转诊流程。</w:t>
      </w:r>
    </w:p>
    <w:p w:rsidR="00654FAD" w:rsidRDefault="002B56DA">
      <w:pPr>
        <w:spacing w:line="360" w:lineRule="auto"/>
        <w:ind w:firstLineChars="200" w:firstLine="640"/>
        <w:rPr>
          <w:rFonts w:ascii="仿宋_GB2312" w:hAnsi="Times New Roman"/>
          <w:kern w:val="0"/>
          <w:szCs w:val="32"/>
        </w:rPr>
      </w:pPr>
      <w:r>
        <w:rPr>
          <w:rFonts w:ascii="仿宋_GB2312" w:hAnsi="Times New Roman" w:hint="eastAsia"/>
          <w:kern w:val="0"/>
          <w:szCs w:val="32"/>
        </w:rPr>
        <w:t>（1）药物复律：氟卡尼、胺碘酮、普罗帕酮、伊布利特、维纳卡兰、多非利特。</w:t>
      </w:r>
    </w:p>
    <w:p w:rsidR="00654FAD" w:rsidRDefault="002B56DA">
      <w:pPr>
        <w:spacing w:line="360" w:lineRule="auto"/>
        <w:ind w:firstLineChars="200" w:firstLine="640"/>
        <w:rPr>
          <w:rFonts w:ascii="仿宋_GB2312" w:hAnsi="Times New Roman"/>
          <w:kern w:val="0"/>
          <w:szCs w:val="32"/>
        </w:rPr>
      </w:pPr>
      <w:r>
        <w:rPr>
          <w:rFonts w:ascii="仿宋_GB2312" w:hAnsi="Times New Roman" w:hint="eastAsia"/>
          <w:kern w:val="0"/>
          <w:szCs w:val="32"/>
        </w:rPr>
        <w:t>（2）电复律：同步直流电复律，首选用于伴有严重血流动力学障碍及预激综合征旁路前传伴快速心室率的患者，有症状的持续性或长期持续性患者。</w:t>
      </w:r>
    </w:p>
    <w:p w:rsidR="00654FAD" w:rsidRDefault="002B56DA">
      <w:pPr>
        <w:spacing w:line="360" w:lineRule="auto"/>
        <w:ind w:firstLineChars="200" w:firstLine="640"/>
        <w:rPr>
          <w:rFonts w:ascii="仿宋_GB2312" w:hAnsi="Times New Roman"/>
          <w:szCs w:val="32"/>
        </w:rPr>
      </w:pPr>
      <w:r>
        <w:rPr>
          <w:rFonts w:ascii="仿宋_GB2312" w:hAnsi="Times New Roman" w:hint="eastAsia"/>
          <w:kern w:val="0"/>
          <w:szCs w:val="32"/>
        </w:rPr>
        <w:t>（3）</w:t>
      </w:r>
      <w:r>
        <w:rPr>
          <w:rFonts w:ascii="仿宋_GB2312" w:hAnsi="Times New Roman" w:hint="eastAsia"/>
          <w:szCs w:val="32"/>
        </w:rPr>
        <w:t>导管消融：冷冻消融、射频消融。</w:t>
      </w:r>
    </w:p>
    <w:p w:rsidR="00654FAD" w:rsidRDefault="002B56DA">
      <w:pPr>
        <w:spacing w:line="360" w:lineRule="auto"/>
        <w:ind w:firstLineChars="200" w:firstLine="640"/>
        <w:rPr>
          <w:rFonts w:ascii="仿宋_GB2312" w:hAnsi="Times New Roman"/>
          <w:szCs w:val="32"/>
        </w:rPr>
      </w:pPr>
      <w:r>
        <w:rPr>
          <w:rFonts w:ascii="仿宋_GB2312" w:hAnsi="Times New Roman" w:hint="eastAsia"/>
          <w:szCs w:val="32"/>
        </w:rPr>
        <w:t>（4）外科治疗：迷宫手术、微创房颤外科消融手术。</w:t>
      </w:r>
    </w:p>
    <w:p w:rsidR="00654FAD" w:rsidRDefault="002B56DA">
      <w:pPr>
        <w:spacing w:line="360" w:lineRule="auto"/>
        <w:ind w:firstLineChars="200" w:firstLine="640"/>
        <w:rPr>
          <w:rFonts w:ascii="仿宋_GB2312" w:hAnsi="Times New Roman"/>
          <w:kern w:val="0"/>
          <w:szCs w:val="32"/>
        </w:rPr>
      </w:pPr>
      <w:r>
        <w:rPr>
          <w:rFonts w:ascii="仿宋_GB2312" w:hAnsi="Times New Roman" w:hint="eastAsia"/>
          <w:szCs w:val="32"/>
        </w:rPr>
        <w:t>（5）内外科杂交手术。</w:t>
      </w:r>
    </w:p>
    <w:p w:rsidR="00654FAD" w:rsidRDefault="002B56DA" w:rsidP="000C5874">
      <w:pPr>
        <w:spacing w:line="360" w:lineRule="auto"/>
        <w:jc w:val="center"/>
        <w:rPr>
          <w:rFonts w:ascii="Times New Roman" w:hAnsi="Times New Roman"/>
          <w:kern w:val="0"/>
          <w:sz w:val="24"/>
        </w:rPr>
      </w:pPr>
      <w:bookmarkStart w:id="0" w:name="_GoBack"/>
      <w:r>
        <w:rPr>
          <w:rFonts w:ascii="Times New Roman" w:hAnsi="Times New Roman"/>
          <w:noProof/>
          <w:kern w:val="0"/>
          <w:sz w:val="24"/>
        </w:rPr>
        <w:drawing>
          <wp:inline distT="0" distB="0" distL="114300" distR="114300">
            <wp:extent cx="5276850" cy="3415665"/>
            <wp:effectExtent l="0" t="0" r="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6850" cy="3415665"/>
                    </a:xfrm>
                    <a:prstGeom prst="rect">
                      <a:avLst/>
                    </a:prstGeom>
                    <a:noFill/>
                    <a:ln w="9525">
                      <a:noFill/>
                      <a:miter/>
                    </a:ln>
                  </pic:spPr>
                </pic:pic>
              </a:graphicData>
            </a:graphic>
          </wp:inline>
        </w:drawing>
      </w:r>
      <w:bookmarkEnd w:id="0"/>
    </w:p>
    <w:p w:rsidR="00654FAD" w:rsidRDefault="002B56DA">
      <w:pPr>
        <w:spacing w:beforeLines="50" w:before="156" w:line="360" w:lineRule="auto"/>
        <w:jc w:val="center"/>
        <w:rPr>
          <w:rFonts w:ascii="仿宋_GB2312" w:hAnsi="Times New Roman"/>
          <w:kern w:val="0"/>
          <w:szCs w:val="32"/>
        </w:rPr>
      </w:pPr>
      <w:r>
        <w:rPr>
          <w:rFonts w:ascii="仿宋_GB2312" w:hAnsi="Times New Roman" w:hint="eastAsia"/>
          <w:kern w:val="0"/>
          <w:szCs w:val="32"/>
        </w:rPr>
        <w:t>图3.近期发作的房颤节律控制治疗</w:t>
      </w:r>
    </w:p>
    <w:p w:rsidR="00654FAD" w:rsidRDefault="002B56DA">
      <w:pPr>
        <w:spacing w:line="360" w:lineRule="auto"/>
        <w:rPr>
          <w:rFonts w:ascii="仿宋_GB2312" w:hAnsi="仿宋_GB2312" w:cs="仿宋_GB2312"/>
          <w:sz w:val="24"/>
        </w:rPr>
      </w:pPr>
      <w:r>
        <w:rPr>
          <w:rFonts w:ascii="仿宋_GB2312" w:hAnsi="仿宋_GB2312" w:cs="仿宋_GB2312" w:hint="eastAsia"/>
          <w:sz w:val="24"/>
        </w:rPr>
        <w:t>（引自心房颤动：目前的认识和治疗的建议-2018，中国心脏起搏与心电生理杂志,2018,32(4):315-368）</w:t>
      </w:r>
    </w:p>
    <w:p w:rsidR="00654FAD" w:rsidRDefault="00654FAD">
      <w:pPr>
        <w:autoSpaceDE w:val="0"/>
        <w:autoSpaceDN w:val="0"/>
        <w:adjustRightInd w:val="0"/>
        <w:snapToGrid w:val="0"/>
        <w:spacing w:line="360" w:lineRule="auto"/>
        <w:ind w:firstLineChars="200" w:firstLine="643"/>
        <w:rPr>
          <w:rFonts w:ascii="仿宋_GB2312" w:hAnsi="Times New Roman"/>
          <w:b/>
          <w:color w:val="000000"/>
          <w:kern w:val="0"/>
          <w:szCs w:val="32"/>
        </w:rPr>
      </w:pPr>
    </w:p>
    <w:p w:rsidR="00654FAD" w:rsidRDefault="002B56DA">
      <w:pPr>
        <w:autoSpaceDE w:val="0"/>
        <w:autoSpaceDN w:val="0"/>
        <w:adjustRightInd w:val="0"/>
        <w:snapToGrid w:val="0"/>
        <w:spacing w:line="360" w:lineRule="auto"/>
        <w:ind w:firstLineChars="200" w:firstLine="640"/>
        <w:rPr>
          <w:rFonts w:ascii="黑体" w:eastAsia="黑体" w:hAnsi="黑体"/>
          <w:color w:val="000000"/>
          <w:kern w:val="0"/>
          <w:szCs w:val="32"/>
        </w:rPr>
      </w:pPr>
      <w:r>
        <w:rPr>
          <w:rFonts w:ascii="黑体" w:eastAsia="黑体" w:hAnsi="黑体" w:hint="eastAsia"/>
          <w:color w:val="000000"/>
          <w:kern w:val="0"/>
          <w:szCs w:val="32"/>
        </w:rPr>
        <w:t>五、急性房颤的治疗</w:t>
      </w:r>
    </w:p>
    <w:p w:rsidR="00654FAD" w:rsidRDefault="002B56DA">
      <w:pPr>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szCs w:val="32"/>
        </w:rPr>
        <w:t>急性房颤包括房颤首次发作、阵发性房颤发作期以及持续性或永久性房颤发生快速心室率和/症状加重。常由于心室率过快和不规则，出现症状突然明显加重，包括心悸、气短、乏力、头晕、活动耐量下降。严重者包括静息状态呼吸困难、胸痛、晕厥前兆或者晕厥等。急性房颤需尽快明确诊断并启动治疗，血流动力学不稳定者需及时电复律（图4）。</w:t>
      </w:r>
    </w:p>
    <w:p w:rsidR="00654FAD" w:rsidRDefault="002B56DA">
      <w:pPr>
        <w:adjustRightInd w:val="0"/>
        <w:snapToGrid w:val="0"/>
        <w:spacing w:line="360" w:lineRule="auto"/>
        <w:ind w:firstLineChars="200" w:firstLine="643"/>
        <w:rPr>
          <w:rFonts w:ascii="仿宋_GB2312" w:hAnsi="Times New Roman"/>
          <w:color w:val="000000"/>
          <w:kern w:val="0"/>
          <w:szCs w:val="32"/>
        </w:rPr>
      </w:pPr>
      <w:r>
        <w:rPr>
          <w:rFonts w:ascii="楷体_GB2312" w:eastAsia="楷体_GB2312" w:hAnsi="Times New Roman" w:hint="eastAsia"/>
          <w:b/>
          <w:color w:val="000000"/>
          <w:kern w:val="0"/>
          <w:szCs w:val="32"/>
        </w:rPr>
        <w:t>（一）</w:t>
      </w:r>
      <w:r>
        <w:rPr>
          <w:rFonts w:ascii="楷体_GB2312" w:eastAsia="楷体_GB2312" w:hAnsi="Times New Roman" w:hint="eastAsia"/>
          <w:b/>
          <w:bCs/>
          <w:szCs w:val="32"/>
        </w:rPr>
        <w:t>治疗原则和目标。</w:t>
      </w:r>
      <w:r>
        <w:rPr>
          <w:rFonts w:ascii="仿宋_GB2312" w:hAnsi="Times New Roman" w:hint="eastAsia"/>
          <w:szCs w:val="32"/>
        </w:rPr>
        <w:t>维持血流动力学，纠正急性房颤的病因和诱因；转复窦律、控制心室率和预防卒中；改善生活质量和远期预后。</w:t>
      </w:r>
    </w:p>
    <w:p w:rsidR="00654FAD" w:rsidRDefault="002B56DA">
      <w:pPr>
        <w:autoSpaceDE w:val="0"/>
        <w:autoSpaceDN w:val="0"/>
        <w:adjustRightInd w:val="0"/>
        <w:snapToGrid w:val="0"/>
        <w:spacing w:line="360" w:lineRule="auto"/>
        <w:ind w:firstLineChars="200" w:firstLine="643"/>
        <w:rPr>
          <w:rFonts w:ascii="楷体_GB2312" w:eastAsia="楷体_GB2312" w:hAnsi="Times New Roman"/>
          <w:color w:val="000000"/>
          <w:kern w:val="0"/>
          <w:szCs w:val="32"/>
        </w:rPr>
      </w:pPr>
      <w:r>
        <w:rPr>
          <w:rFonts w:ascii="楷体_GB2312" w:eastAsia="楷体_GB2312" w:hAnsi="Times New Roman" w:hint="eastAsia"/>
          <w:b/>
          <w:bCs/>
          <w:color w:val="000000"/>
          <w:kern w:val="0"/>
          <w:szCs w:val="32"/>
        </w:rPr>
        <w:t>（二）治疗。</w:t>
      </w:r>
    </w:p>
    <w:p w:rsidR="00654FAD" w:rsidRDefault="002B56DA">
      <w:pPr>
        <w:autoSpaceDE w:val="0"/>
        <w:autoSpaceDN w:val="0"/>
        <w:adjustRightInd w:val="0"/>
        <w:snapToGrid w:val="0"/>
        <w:spacing w:line="360" w:lineRule="auto"/>
        <w:ind w:firstLineChars="200" w:firstLine="643"/>
        <w:rPr>
          <w:rFonts w:ascii="仿宋_GB2312" w:hAnsi="Times New Roman"/>
          <w:color w:val="000000"/>
          <w:kern w:val="0"/>
          <w:szCs w:val="32"/>
        </w:rPr>
      </w:pPr>
      <w:r>
        <w:rPr>
          <w:rFonts w:ascii="仿宋_GB2312" w:hAnsi="Times New Roman" w:hint="eastAsia"/>
          <w:b/>
          <w:bCs/>
          <w:color w:val="000000"/>
          <w:kern w:val="0"/>
          <w:szCs w:val="32"/>
        </w:rPr>
        <w:t>1.基层医疗卫生机构。</w:t>
      </w:r>
      <w:r>
        <w:rPr>
          <w:rFonts w:ascii="仿宋_GB2312" w:hAnsi="Times New Roman" w:hint="eastAsia"/>
          <w:color w:val="000000"/>
          <w:kern w:val="0"/>
          <w:szCs w:val="32"/>
        </w:rPr>
        <w:t>对血流动力学不稳定的患者给予初始监测评估（包括血氧饱和度、血压</w:t>
      </w:r>
      <w:r>
        <w:rPr>
          <w:rFonts w:ascii="仿宋_GB2312" w:hAnsi="Times New Roman"/>
          <w:color w:val="000000"/>
          <w:kern w:val="0"/>
          <w:szCs w:val="32"/>
        </w:rPr>
        <w:t>等</w:t>
      </w:r>
      <w:r>
        <w:rPr>
          <w:rFonts w:ascii="仿宋_GB2312" w:hAnsi="Times New Roman" w:hint="eastAsia"/>
          <w:color w:val="000000"/>
          <w:kern w:val="0"/>
          <w:szCs w:val="32"/>
        </w:rPr>
        <w:t>）和基本治疗、生命支持，及时启动转诊流程。</w:t>
      </w:r>
    </w:p>
    <w:p w:rsidR="00654FAD" w:rsidRDefault="002B56DA">
      <w:pPr>
        <w:autoSpaceDE w:val="0"/>
        <w:autoSpaceDN w:val="0"/>
        <w:adjustRightInd w:val="0"/>
        <w:snapToGrid w:val="0"/>
        <w:spacing w:line="360" w:lineRule="auto"/>
        <w:ind w:firstLineChars="200" w:firstLine="643"/>
        <w:rPr>
          <w:rFonts w:ascii="仿宋_GB2312" w:hAnsi="Times New Roman"/>
          <w:b/>
          <w:bCs/>
          <w:color w:val="000000"/>
          <w:kern w:val="0"/>
          <w:szCs w:val="32"/>
        </w:rPr>
      </w:pPr>
      <w:r>
        <w:rPr>
          <w:rFonts w:ascii="仿宋_GB2312" w:hAnsi="Times New Roman" w:hint="eastAsia"/>
          <w:b/>
          <w:bCs/>
          <w:color w:val="000000"/>
          <w:kern w:val="0"/>
          <w:szCs w:val="32"/>
        </w:rPr>
        <w:t>2.二级以上医院。</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（1）血流动力学不稳定的急性房颤的处理：</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color w:val="000000"/>
          <w:kern w:val="0"/>
          <w:szCs w:val="32"/>
        </w:rPr>
        <w:fldChar w:fldCharType="begin"/>
      </w:r>
      <w:r>
        <w:rPr>
          <w:rFonts w:ascii="仿宋_GB2312" w:hAnsi="Times New Roman"/>
          <w:color w:val="000000"/>
          <w:kern w:val="0"/>
          <w:szCs w:val="32"/>
        </w:rPr>
        <w:instrText xml:space="preserve"> </w:instrText>
      </w:r>
      <w:r>
        <w:rPr>
          <w:rFonts w:ascii="仿宋_GB2312" w:hAnsi="Times New Roman" w:hint="eastAsia"/>
          <w:color w:val="000000"/>
          <w:kern w:val="0"/>
          <w:szCs w:val="32"/>
        </w:rPr>
        <w:instrText>= 1 \* GB3</w:instrText>
      </w:r>
      <w:r>
        <w:rPr>
          <w:rFonts w:ascii="仿宋_GB2312" w:hAnsi="Times New Roman"/>
          <w:color w:val="000000"/>
          <w:kern w:val="0"/>
          <w:szCs w:val="32"/>
        </w:rPr>
        <w:instrText xml:space="preserve"> </w:instrText>
      </w:r>
      <w:r>
        <w:rPr>
          <w:rFonts w:ascii="仿宋_GB2312" w:hAnsi="Times New Roman"/>
          <w:color w:val="000000"/>
          <w:kern w:val="0"/>
          <w:szCs w:val="32"/>
        </w:rPr>
        <w:fldChar w:fldCharType="separate"/>
      </w:r>
      <w:r>
        <w:rPr>
          <w:rFonts w:ascii="仿宋_GB2312" w:hAnsi="Times New Roman" w:hint="eastAsia"/>
          <w:color w:val="000000"/>
          <w:kern w:val="0"/>
          <w:szCs w:val="32"/>
        </w:rPr>
        <w:t>①</w:t>
      </w:r>
      <w:r>
        <w:rPr>
          <w:rFonts w:ascii="仿宋_GB2312" w:hAnsi="Times New Roman"/>
          <w:color w:val="000000"/>
          <w:kern w:val="0"/>
          <w:szCs w:val="32"/>
        </w:rPr>
        <w:fldChar w:fldCharType="end"/>
      </w:r>
      <w:r>
        <w:rPr>
          <w:rFonts w:ascii="仿宋_GB2312" w:hAnsi="Times New Roman" w:hint="eastAsia"/>
          <w:color w:val="000000"/>
          <w:kern w:val="0"/>
          <w:szCs w:val="32"/>
        </w:rPr>
        <w:t>同步直流电复律；</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color w:val="000000"/>
          <w:kern w:val="0"/>
          <w:szCs w:val="32"/>
        </w:rPr>
        <w:fldChar w:fldCharType="begin"/>
      </w:r>
      <w:r>
        <w:rPr>
          <w:rFonts w:ascii="仿宋_GB2312" w:hAnsi="Times New Roman"/>
          <w:color w:val="000000"/>
          <w:kern w:val="0"/>
          <w:szCs w:val="32"/>
        </w:rPr>
        <w:instrText xml:space="preserve"> </w:instrText>
      </w:r>
      <w:r>
        <w:rPr>
          <w:rFonts w:ascii="仿宋_GB2312" w:hAnsi="Times New Roman" w:hint="eastAsia"/>
          <w:color w:val="000000"/>
          <w:kern w:val="0"/>
          <w:szCs w:val="32"/>
        </w:rPr>
        <w:instrText>= 2 \* GB3</w:instrText>
      </w:r>
      <w:r>
        <w:rPr>
          <w:rFonts w:ascii="仿宋_GB2312" w:hAnsi="Times New Roman"/>
          <w:color w:val="000000"/>
          <w:kern w:val="0"/>
          <w:szCs w:val="32"/>
        </w:rPr>
        <w:instrText xml:space="preserve"> </w:instrText>
      </w:r>
      <w:r>
        <w:rPr>
          <w:rFonts w:ascii="仿宋_GB2312" w:hAnsi="Times New Roman"/>
          <w:color w:val="000000"/>
          <w:kern w:val="0"/>
          <w:szCs w:val="32"/>
        </w:rPr>
        <w:fldChar w:fldCharType="separate"/>
      </w:r>
      <w:r>
        <w:rPr>
          <w:rFonts w:ascii="仿宋_GB2312" w:hAnsi="Times New Roman" w:hint="eastAsia"/>
          <w:color w:val="000000"/>
          <w:kern w:val="0"/>
          <w:szCs w:val="32"/>
        </w:rPr>
        <w:t>②</w:t>
      </w:r>
      <w:r>
        <w:rPr>
          <w:rFonts w:ascii="仿宋_GB2312" w:hAnsi="Times New Roman"/>
          <w:color w:val="000000"/>
          <w:kern w:val="0"/>
          <w:szCs w:val="32"/>
        </w:rPr>
        <w:fldChar w:fldCharType="end"/>
      </w:r>
      <w:r>
        <w:rPr>
          <w:rFonts w:ascii="仿宋_GB2312" w:hAnsi="Times New Roman" w:hint="eastAsia"/>
          <w:color w:val="000000"/>
          <w:kern w:val="0"/>
          <w:szCs w:val="32"/>
        </w:rPr>
        <w:t>抗凝治疗：普通肝素、低分子肝素、口服抗凝剂；</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color w:val="000000"/>
          <w:kern w:val="0"/>
          <w:szCs w:val="32"/>
        </w:rPr>
        <w:fldChar w:fldCharType="begin"/>
      </w:r>
      <w:r>
        <w:rPr>
          <w:rFonts w:ascii="仿宋_GB2312" w:hAnsi="Times New Roman"/>
          <w:color w:val="000000"/>
          <w:kern w:val="0"/>
          <w:szCs w:val="32"/>
        </w:rPr>
        <w:instrText xml:space="preserve"> </w:instrText>
      </w:r>
      <w:r>
        <w:rPr>
          <w:rFonts w:ascii="仿宋_GB2312" w:hAnsi="Times New Roman" w:hint="eastAsia"/>
          <w:color w:val="000000"/>
          <w:kern w:val="0"/>
          <w:szCs w:val="32"/>
        </w:rPr>
        <w:instrText>= 3 \* GB3</w:instrText>
      </w:r>
      <w:r>
        <w:rPr>
          <w:rFonts w:ascii="仿宋_GB2312" w:hAnsi="Times New Roman"/>
          <w:color w:val="000000"/>
          <w:kern w:val="0"/>
          <w:szCs w:val="32"/>
        </w:rPr>
        <w:instrText xml:space="preserve"> </w:instrText>
      </w:r>
      <w:r>
        <w:rPr>
          <w:rFonts w:ascii="仿宋_GB2312" w:hAnsi="Times New Roman"/>
          <w:color w:val="000000"/>
          <w:kern w:val="0"/>
          <w:szCs w:val="32"/>
        </w:rPr>
        <w:fldChar w:fldCharType="separate"/>
      </w:r>
      <w:r>
        <w:rPr>
          <w:rFonts w:ascii="仿宋_GB2312" w:hAnsi="Times New Roman" w:hint="eastAsia"/>
          <w:color w:val="000000"/>
          <w:kern w:val="0"/>
          <w:szCs w:val="32"/>
        </w:rPr>
        <w:t>③</w:t>
      </w:r>
      <w:r>
        <w:rPr>
          <w:rFonts w:ascii="仿宋_GB2312" w:hAnsi="Times New Roman"/>
          <w:color w:val="000000"/>
          <w:kern w:val="0"/>
          <w:szCs w:val="32"/>
        </w:rPr>
        <w:fldChar w:fldCharType="end"/>
      </w:r>
      <w:r>
        <w:rPr>
          <w:rFonts w:ascii="仿宋_GB2312" w:hAnsi="Times New Roman" w:hint="eastAsia"/>
          <w:color w:val="000000"/>
          <w:kern w:val="0"/>
          <w:szCs w:val="32"/>
        </w:rPr>
        <w:t>迅速识别病因和诱因，并给予针对性治疗；</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color w:val="000000"/>
          <w:kern w:val="0"/>
          <w:szCs w:val="32"/>
        </w:rPr>
        <w:fldChar w:fldCharType="begin"/>
      </w:r>
      <w:r>
        <w:rPr>
          <w:rFonts w:ascii="仿宋_GB2312" w:hAnsi="Times New Roman"/>
          <w:color w:val="000000"/>
          <w:kern w:val="0"/>
          <w:szCs w:val="32"/>
        </w:rPr>
        <w:instrText xml:space="preserve"> </w:instrText>
      </w:r>
      <w:r>
        <w:rPr>
          <w:rFonts w:ascii="仿宋_GB2312" w:hAnsi="Times New Roman" w:hint="eastAsia"/>
          <w:color w:val="000000"/>
          <w:kern w:val="0"/>
          <w:szCs w:val="32"/>
        </w:rPr>
        <w:instrText>= 4 \* GB3</w:instrText>
      </w:r>
      <w:r>
        <w:rPr>
          <w:rFonts w:ascii="仿宋_GB2312" w:hAnsi="Times New Roman"/>
          <w:color w:val="000000"/>
          <w:kern w:val="0"/>
          <w:szCs w:val="32"/>
        </w:rPr>
        <w:instrText xml:space="preserve"> </w:instrText>
      </w:r>
      <w:r>
        <w:rPr>
          <w:rFonts w:ascii="仿宋_GB2312" w:hAnsi="Times New Roman"/>
          <w:color w:val="000000"/>
          <w:kern w:val="0"/>
          <w:szCs w:val="32"/>
        </w:rPr>
        <w:fldChar w:fldCharType="separate"/>
      </w:r>
      <w:r>
        <w:rPr>
          <w:rFonts w:ascii="仿宋_GB2312" w:hAnsi="Times New Roman" w:hint="eastAsia"/>
          <w:color w:val="000000"/>
          <w:kern w:val="0"/>
          <w:szCs w:val="32"/>
        </w:rPr>
        <w:t>④</w:t>
      </w:r>
      <w:r>
        <w:rPr>
          <w:rFonts w:ascii="仿宋_GB2312" w:hAnsi="Times New Roman"/>
          <w:color w:val="000000"/>
          <w:kern w:val="0"/>
          <w:szCs w:val="32"/>
        </w:rPr>
        <w:fldChar w:fldCharType="end"/>
      </w:r>
      <w:r>
        <w:rPr>
          <w:rFonts w:ascii="仿宋_GB2312" w:hAnsi="Times New Roman" w:hint="eastAsia"/>
          <w:color w:val="000000"/>
          <w:kern w:val="0"/>
          <w:szCs w:val="32"/>
        </w:rPr>
        <w:t>二级医院待病情稳定后，亦可启动转诊流程。</w:t>
      </w:r>
    </w:p>
    <w:p w:rsidR="00654FAD" w:rsidRDefault="002B56DA">
      <w:pPr>
        <w:autoSpaceDE w:val="0"/>
        <w:autoSpaceDN w:val="0"/>
        <w:adjustRightInd w:val="0"/>
        <w:snapToGrid w:val="0"/>
        <w:spacing w:line="360" w:lineRule="auto"/>
        <w:ind w:firstLineChars="200" w:firstLine="640"/>
        <w:rPr>
          <w:rFonts w:ascii="仿宋_GB2312" w:cs="FZSSK--GBK1-0"/>
          <w:kern w:val="0"/>
          <w:szCs w:val="32"/>
        </w:rPr>
      </w:pPr>
      <w:r>
        <w:rPr>
          <w:rFonts w:ascii="仿宋_GB2312" w:hAnsi="Times New Roman" w:hint="eastAsia"/>
          <w:color w:val="000000"/>
          <w:kern w:val="0"/>
          <w:szCs w:val="32"/>
        </w:rPr>
        <w:t>（2）血流动力学稳定的急性房颤处理：首先，评价血栓栓塞的风险，决定是否需要抗凝治疗；其次，根据心室率、症状和有无器质性心脏病，决定是否需要控制心室率；最后，决定是否复律、复律的时间、复律的方式以及复律后预防房颤复发。</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color w:val="000000"/>
          <w:kern w:val="0"/>
          <w:szCs w:val="32"/>
        </w:rPr>
        <w:fldChar w:fldCharType="begin"/>
      </w:r>
      <w:r>
        <w:rPr>
          <w:rFonts w:ascii="仿宋_GB2312" w:hAnsi="Times New Roman"/>
          <w:color w:val="000000"/>
          <w:kern w:val="0"/>
          <w:szCs w:val="32"/>
        </w:rPr>
        <w:instrText xml:space="preserve"> </w:instrText>
      </w:r>
      <w:r>
        <w:rPr>
          <w:rFonts w:ascii="仿宋_GB2312" w:hAnsi="Times New Roman" w:hint="eastAsia"/>
          <w:color w:val="000000"/>
          <w:kern w:val="0"/>
          <w:szCs w:val="32"/>
        </w:rPr>
        <w:instrText>= 1 \* GB3</w:instrText>
      </w:r>
      <w:r>
        <w:rPr>
          <w:rFonts w:ascii="仿宋_GB2312" w:hAnsi="Times New Roman"/>
          <w:color w:val="000000"/>
          <w:kern w:val="0"/>
          <w:szCs w:val="32"/>
        </w:rPr>
        <w:instrText xml:space="preserve"> </w:instrText>
      </w:r>
      <w:r>
        <w:rPr>
          <w:rFonts w:ascii="仿宋_GB2312" w:hAnsi="Times New Roman"/>
          <w:color w:val="000000"/>
          <w:kern w:val="0"/>
          <w:szCs w:val="32"/>
        </w:rPr>
        <w:fldChar w:fldCharType="separate"/>
      </w:r>
      <w:r>
        <w:rPr>
          <w:rFonts w:ascii="仿宋_GB2312" w:hAnsi="Times New Roman" w:hint="eastAsia"/>
          <w:color w:val="000000"/>
          <w:kern w:val="0"/>
          <w:szCs w:val="32"/>
        </w:rPr>
        <w:t>①</w:t>
      </w:r>
      <w:r>
        <w:rPr>
          <w:rFonts w:ascii="仿宋_GB2312" w:hAnsi="Times New Roman"/>
          <w:color w:val="000000"/>
          <w:kern w:val="0"/>
          <w:szCs w:val="32"/>
        </w:rPr>
        <w:fldChar w:fldCharType="end"/>
      </w:r>
      <w:r>
        <w:rPr>
          <w:rFonts w:ascii="仿宋_GB2312" w:hAnsi="Times New Roman" w:hint="eastAsia"/>
          <w:color w:val="000000"/>
          <w:kern w:val="0"/>
          <w:szCs w:val="32"/>
        </w:rPr>
        <w:t>抗凝治疗： 肝素、华法林、新型口服抗凝剂。</w:t>
      </w:r>
    </w:p>
    <w:p w:rsidR="00654FAD" w:rsidRDefault="002B56DA">
      <w:pPr>
        <w:autoSpaceDE w:val="0"/>
        <w:autoSpaceDN w:val="0"/>
        <w:adjustRightInd w:val="0"/>
        <w:snapToGrid w:val="0"/>
        <w:spacing w:line="360" w:lineRule="auto"/>
        <w:ind w:firstLineChars="200" w:firstLine="640"/>
        <w:jc w:val="left"/>
        <w:rPr>
          <w:rFonts w:ascii="仿宋_GB2312" w:hAnsi="Times New Roman"/>
          <w:color w:val="000000"/>
          <w:kern w:val="0"/>
          <w:szCs w:val="32"/>
        </w:rPr>
      </w:pPr>
      <w:r>
        <w:rPr>
          <w:rFonts w:ascii="仿宋_GB2312" w:hAnsi="Times New Roman"/>
          <w:color w:val="000000"/>
          <w:kern w:val="0"/>
          <w:szCs w:val="32"/>
        </w:rPr>
        <w:fldChar w:fldCharType="begin"/>
      </w:r>
      <w:r>
        <w:rPr>
          <w:rFonts w:ascii="仿宋_GB2312" w:hAnsi="Times New Roman"/>
          <w:color w:val="000000"/>
          <w:kern w:val="0"/>
          <w:szCs w:val="32"/>
        </w:rPr>
        <w:instrText xml:space="preserve"> </w:instrText>
      </w:r>
      <w:r>
        <w:rPr>
          <w:rFonts w:ascii="仿宋_GB2312" w:hAnsi="Times New Roman" w:hint="eastAsia"/>
          <w:color w:val="000000"/>
          <w:kern w:val="0"/>
          <w:szCs w:val="32"/>
        </w:rPr>
        <w:instrText>= 2 \* GB3</w:instrText>
      </w:r>
      <w:r>
        <w:rPr>
          <w:rFonts w:ascii="仿宋_GB2312" w:hAnsi="Times New Roman"/>
          <w:color w:val="000000"/>
          <w:kern w:val="0"/>
          <w:szCs w:val="32"/>
        </w:rPr>
        <w:instrText xml:space="preserve"> </w:instrText>
      </w:r>
      <w:r>
        <w:rPr>
          <w:rFonts w:ascii="仿宋_GB2312" w:hAnsi="Times New Roman"/>
          <w:color w:val="000000"/>
          <w:kern w:val="0"/>
          <w:szCs w:val="32"/>
        </w:rPr>
        <w:fldChar w:fldCharType="separate"/>
      </w:r>
      <w:r>
        <w:rPr>
          <w:rFonts w:ascii="仿宋_GB2312" w:hAnsi="Times New Roman" w:hint="eastAsia"/>
          <w:color w:val="000000"/>
          <w:kern w:val="0"/>
          <w:szCs w:val="32"/>
        </w:rPr>
        <w:t>②</w:t>
      </w:r>
      <w:r>
        <w:rPr>
          <w:rFonts w:ascii="仿宋_GB2312" w:hAnsi="Times New Roman"/>
          <w:color w:val="000000"/>
          <w:kern w:val="0"/>
          <w:szCs w:val="32"/>
        </w:rPr>
        <w:fldChar w:fldCharType="end"/>
      </w:r>
      <w:r>
        <w:rPr>
          <w:rFonts w:ascii="仿宋_GB2312" w:hAnsi="Times New Roman" w:hint="eastAsia"/>
          <w:color w:val="000000"/>
          <w:kern w:val="0"/>
          <w:szCs w:val="32"/>
        </w:rPr>
        <w:t>控制心室率：β受体阻滞剂、非二氢吡啶类钙拮抗剂、洋地黄类或胺碘酮。房颤伴预激患者，禁用非二氢吡啶类钙拮抗剂和洋地黄类药物。</w:t>
      </w:r>
    </w:p>
    <w:p w:rsidR="00654FAD" w:rsidRDefault="002B56DA">
      <w:pPr>
        <w:autoSpaceDE w:val="0"/>
        <w:autoSpaceDN w:val="0"/>
        <w:adjustRightInd w:val="0"/>
        <w:snapToGrid w:val="0"/>
        <w:spacing w:line="360" w:lineRule="auto"/>
        <w:ind w:firstLineChars="200" w:firstLine="640"/>
        <w:jc w:val="left"/>
        <w:rPr>
          <w:rFonts w:ascii="仿宋_GB2312" w:hAnsi="Times New Roman"/>
          <w:color w:val="000000"/>
          <w:kern w:val="0"/>
          <w:szCs w:val="32"/>
        </w:rPr>
      </w:pPr>
      <w:r>
        <w:rPr>
          <w:rFonts w:ascii="仿宋_GB2312" w:hAnsi="Times New Roman"/>
          <w:color w:val="000000"/>
          <w:kern w:val="0"/>
          <w:szCs w:val="32"/>
        </w:rPr>
        <w:fldChar w:fldCharType="begin"/>
      </w:r>
      <w:r>
        <w:rPr>
          <w:rFonts w:ascii="仿宋_GB2312" w:hAnsi="Times New Roman"/>
          <w:color w:val="000000"/>
          <w:kern w:val="0"/>
          <w:szCs w:val="32"/>
        </w:rPr>
        <w:instrText xml:space="preserve"> </w:instrText>
      </w:r>
      <w:r>
        <w:rPr>
          <w:rFonts w:ascii="仿宋_GB2312" w:hAnsi="Times New Roman" w:hint="eastAsia"/>
          <w:color w:val="000000"/>
          <w:kern w:val="0"/>
          <w:szCs w:val="32"/>
        </w:rPr>
        <w:instrText>= 3 \* GB3</w:instrText>
      </w:r>
      <w:r>
        <w:rPr>
          <w:rFonts w:ascii="仿宋_GB2312" w:hAnsi="Times New Roman"/>
          <w:color w:val="000000"/>
          <w:kern w:val="0"/>
          <w:szCs w:val="32"/>
        </w:rPr>
        <w:instrText xml:space="preserve"> </w:instrText>
      </w:r>
      <w:r>
        <w:rPr>
          <w:rFonts w:ascii="仿宋_GB2312" w:hAnsi="Times New Roman"/>
          <w:color w:val="000000"/>
          <w:kern w:val="0"/>
          <w:szCs w:val="32"/>
        </w:rPr>
        <w:fldChar w:fldCharType="separate"/>
      </w:r>
      <w:r>
        <w:rPr>
          <w:rFonts w:ascii="仿宋_GB2312" w:hAnsi="Times New Roman" w:hint="eastAsia"/>
          <w:color w:val="000000"/>
          <w:kern w:val="0"/>
          <w:szCs w:val="32"/>
        </w:rPr>
        <w:t>③</w:t>
      </w:r>
      <w:r>
        <w:rPr>
          <w:rFonts w:ascii="仿宋_GB2312" w:hAnsi="Times New Roman"/>
          <w:color w:val="000000"/>
          <w:kern w:val="0"/>
          <w:szCs w:val="32"/>
        </w:rPr>
        <w:fldChar w:fldCharType="end"/>
      </w:r>
      <w:r>
        <w:rPr>
          <w:rFonts w:ascii="仿宋_GB2312" w:hAnsi="Times New Roman" w:hint="eastAsia"/>
          <w:color w:val="000000"/>
          <w:kern w:val="0"/>
          <w:szCs w:val="32"/>
        </w:rPr>
        <w:t>复律治疗：电复律、药物复律。</w:t>
      </w:r>
    </w:p>
    <w:p w:rsidR="00654FAD" w:rsidRDefault="002B56DA">
      <w:pPr>
        <w:autoSpaceDE w:val="0"/>
        <w:autoSpaceDN w:val="0"/>
        <w:adjustRightInd w:val="0"/>
        <w:snapToGrid w:val="0"/>
        <w:spacing w:line="360" w:lineRule="auto"/>
        <w:ind w:firstLineChars="200" w:firstLine="640"/>
        <w:jc w:val="left"/>
        <w:rPr>
          <w:rFonts w:ascii="仿宋_GB2312" w:hAnsi="Times New Roman"/>
          <w:color w:val="000000"/>
          <w:kern w:val="0"/>
          <w:szCs w:val="32"/>
        </w:rPr>
      </w:pPr>
      <w:r>
        <w:rPr>
          <w:rFonts w:ascii="仿宋_GB2312" w:hAnsi="Times New Roman"/>
          <w:color w:val="000000"/>
          <w:kern w:val="0"/>
          <w:szCs w:val="32"/>
        </w:rPr>
        <w:fldChar w:fldCharType="begin"/>
      </w:r>
      <w:r>
        <w:rPr>
          <w:rFonts w:ascii="仿宋_GB2312" w:hAnsi="Times New Roman"/>
          <w:color w:val="000000"/>
          <w:kern w:val="0"/>
          <w:szCs w:val="32"/>
        </w:rPr>
        <w:instrText xml:space="preserve"> </w:instrText>
      </w:r>
      <w:r>
        <w:rPr>
          <w:rFonts w:ascii="仿宋_GB2312" w:hAnsi="Times New Roman" w:hint="eastAsia"/>
          <w:color w:val="000000"/>
          <w:kern w:val="0"/>
          <w:szCs w:val="32"/>
        </w:rPr>
        <w:instrText>= 4 \* GB3</w:instrText>
      </w:r>
      <w:r>
        <w:rPr>
          <w:rFonts w:ascii="仿宋_GB2312" w:hAnsi="Times New Roman"/>
          <w:color w:val="000000"/>
          <w:kern w:val="0"/>
          <w:szCs w:val="32"/>
        </w:rPr>
        <w:instrText xml:space="preserve"> </w:instrText>
      </w:r>
      <w:r>
        <w:rPr>
          <w:rFonts w:ascii="仿宋_GB2312" w:hAnsi="Times New Roman"/>
          <w:color w:val="000000"/>
          <w:kern w:val="0"/>
          <w:szCs w:val="32"/>
        </w:rPr>
        <w:fldChar w:fldCharType="separate"/>
      </w:r>
      <w:r>
        <w:rPr>
          <w:rFonts w:ascii="仿宋_GB2312" w:hAnsi="Times New Roman" w:hint="eastAsia"/>
          <w:color w:val="000000"/>
          <w:kern w:val="0"/>
          <w:szCs w:val="32"/>
        </w:rPr>
        <w:t>④</w:t>
      </w:r>
      <w:r>
        <w:rPr>
          <w:rFonts w:ascii="仿宋_GB2312" w:hAnsi="Times New Roman"/>
          <w:color w:val="000000"/>
          <w:kern w:val="0"/>
          <w:szCs w:val="32"/>
        </w:rPr>
        <w:fldChar w:fldCharType="end"/>
      </w:r>
      <w:r>
        <w:rPr>
          <w:rFonts w:ascii="仿宋_GB2312" w:hAnsi="Times New Roman" w:hint="eastAsia"/>
          <w:color w:val="000000"/>
          <w:kern w:val="0"/>
          <w:szCs w:val="32"/>
        </w:rPr>
        <w:t>病情稳定后，转至普通病房行规范化治疗和长期随访管理。</w:t>
      </w:r>
    </w:p>
    <w:p w:rsidR="00654FAD" w:rsidRDefault="002B56DA">
      <w:pPr>
        <w:autoSpaceDE w:val="0"/>
        <w:autoSpaceDN w:val="0"/>
        <w:adjustRightInd w:val="0"/>
        <w:jc w:val="center"/>
        <w:rPr>
          <w:rFonts w:ascii="Times New Roman" w:hAnsi="Times New Roman"/>
          <w:color w:val="000000"/>
          <w:kern w:val="0"/>
          <w:sz w:val="24"/>
        </w:rPr>
      </w:pPr>
      <w:r>
        <w:rPr>
          <w:rFonts w:ascii="Times New Roman" w:hAnsi="Times New Roman"/>
          <w:noProof/>
          <w:color w:val="000000"/>
          <w:kern w:val="0"/>
          <w:sz w:val="24"/>
        </w:rPr>
        <w:drawing>
          <wp:inline distT="0" distB="0" distL="114300" distR="114300">
            <wp:extent cx="5271135" cy="3295015"/>
            <wp:effectExtent l="0" t="0" r="571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1135" cy="3295015"/>
                    </a:xfrm>
                    <a:prstGeom prst="rect">
                      <a:avLst/>
                    </a:prstGeom>
                    <a:noFill/>
                    <a:ln w="9525">
                      <a:noFill/>
                      <a:miter/>
                    </a:ln>
                  </pic:spPr>
                </pic:pic>
              </a:graphicData>
            </a:graphic>
          </wp:inline>
        </w:drawing>
      </w:r>
    </w:p>
    <w:p w:rsidR="00654FAD" w:rsidRDefault="002B56DA">
      <w:pPr>
        <w:spacing w:beforeLines="50" w:before="156" w:afterLines="50" w:after="156"/>
        <w:jc w:val="center"/>
        <w:rPr>
          <w:rFonts w:ascii="仿宋_GB2312" w:hAnsi="宋体"/>
          <w:szCs w:val="32"/>
        </w:rPr>
      </w:pPr>
      <w:r>
        <w:rPr>
          <w:rFonts w:ascii="仿宋_GB2312" w:hAnsi="宋体" w:cs="FZHTK--GBK1-0" w:hint="eastAsia"/>
          <w:kern w:val="0"/>
          <w:szCs w:val="32"/>
        </w:rPr>
        <w:t>图</w:t>
      </w:r>
      <w:r>
        <w:rPr>
          <w:rFonts w:ascii="仿宋_GB2312" w:hAnsi="宋体" w:cs="E-HZ" w:hint="eastAsia"/>
          <w:kern w:val="0"/>
          <w:szCs w:val="32"/>
        </w:rPr>
        <w:t>4.</w:t>
      </w:r>
      <w:r>
        <w:rPr>
          <w:rFonts w:ascii="仿宋_GB2312" w:hAnsi="宋体" w:cs="FZSSK--GBK1-0" w:hint="eastAsia"/>
          <w:kern w:val="0"/>
          <w:szCs w:val="32"/>
        </w:rPr>
        <w:t>急性房颤复律流程图</w:t>
      </w:r>
    </w:p>
    <w:p w:rsidR="00654FAD" w:rsidRDefault="002B56DA">
      <w:pPr>
        <w:spacing w:line="360" w:lineRule="auto"/>
        <w:rPr>
          <w:rFonts w:ascii="仿宋_GB2312" w:hAnsi="仿宋_GB2312" w:cs="仿宋_GB2312"/>
          <w:sz w:val="24"/>
        </w:rPr>
      </w:pPr>
      <w:r>
        <w:rPr>
          <w:rFonts w:ascii="仿宋_GB2312" w:hAnsi="仿宋_GB2312" w:cs="仿宋_GB2312" w:hint="eastAsia"/>
          <w:sz w:val="24"/>
        </w:rPr>
        <w:t>（引自心房颤动：目前的认识和治疗的建议-2018，中国心脏起搏与心电生理杂志,2018,32(4):315-368）</w:t>
      </w:r>
    </w:p>
    <w:p w:rsidR="00654FAD" w:rsidRDefault="00654FAD">
      <w:pPr>
        <w:autoSpaceDE w:val="0"/>
        <w:autoSpaceDN w:val="0"/>
        <w:adjustRightInd w:val="0"/>
        <w:snapToGrid w:val="0"/>
        <w:spacing w:line="360" w:lineRule="auto"/>
        <w:ind w:firstLineChars="200" w:firstLine="643"/>
        <w:rPr>
          <w:rFonts w:ascii="仿宋_GB2312" w:hAnsi="Times New Roman"/>
          <w:b/>
          <w:color w:val="000000"/>
          <w:kern w:val="0"/>
          <w:szCs w:val="32"/>
        </w:rPr>
      </w:pPr>
    </w:p>
    <w:p w:rsidR="00654FAD" w:rsidRDefault="002B56DA">
      <w:pPr>
        <w:autoSpaceDE w:val="0"/>
        <w:autoSpaceDN w:val="0"/>
        <w:adjustRightInd w:val="0"/>
        <w:snapToGrid w:val="0"/>
        <w:spacing w:line="360" w:lineRule="auto"/>
        <w:ind w:firstLineChars="200" w:firstLine="640"/>
        <w:rPr>
          <w:rFonts w:ascii="黑体" w:eastAsia="黑体" w:hAnsi="黑体"/>
          <w:color w:val="000000"/>
          <w:kern w:val="0"/>
          <w:szCs w:val="32"/>
        </w:rPr>
      </w:pPr>
      <w:r>
        <w:rPr>
          <w:rFonts w:ascii="黑体" w:eastAsia="黑体" w:hAnsi="黑体" w:hint="eastAsia"/>
          <w:color w:val="000000"/>
          <w:kern w:val="0"/>
          <w:szCs w:val="32"/>
        </w:rPr>
        <w:t>六、房颤的中医辨证论治</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遵循中医药“四诊合参”的原则，采集患者的病史、症状与体征、舌脉诊等信息，综合评估患者病情，把握房颤基本病机进行中医辨证治疗。</w:t>
      </w:r>
    </w:p>
    <w:p w:rsidR="00654FAD" w:rsidRDefault="002B56DA">
      <w:pPr>
        <w:autoSpaceDE w:val="0"/>
        <w:autoSpaceDN w:val="0"/>
        <w:adjustRightInd w:val="0"/>
        <w:snapToGrid w:val="0"/>
        <w:spacing w:line="360" w:lineRule="auto"/>
        <w:ind w:firstLineChars="200" w:firstLine="643"/>
        <w:rPr>
          <w:rFonts w:ascii="楷体_GB2312" w:eastAsia="楷体_GB2312" w:hAnsi="楷体_GB2312" w:cs="楷体_GB2312"/>
          <w:b/>
          <w:bCs/>
          <w:color w:val="000000"/>
          <w:kern w:val="0"/>
          <w:szCs w:val="32"/>
        </w:rPr>
      </w:pPr>
      <w:r>
        <w:rPr>
          <w:rFonts w:ascii="楷体_GB2312" w:eastAsia="楷体_GB2312" w:hAnsi="楷体_GB2312" w:cs="楷体_GB2312" w:hint="eastAsia"/>
          <w:b/>
          <w:bCs/>
          <w:color w:val="000000"/>
          <w:kern w:val="0"/>
          <w:szCs w:val="32"/>
        </w:rPr>
        <w:t>（一）中药辨证论治。</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color w:val="000000"/>
          <w:kern w:val="0"/>
          <w:szCs w:val="32"/>
        </w:rPr>
        <w:t>1.</w:t>
      </w:r>
      <w:r>
        <w:rPr>
          <w:rFonts w:ascii="仿宋_GB2312" w:hAnsi="仿宋_GB2312" w:cs="仿宋_GB2312" w:hint="eastAsia"/>
          <w:color w:val="000000"/>
          <w:kern w:val="0"/>
          <w:szCs w:val="32"/>
        </w:rPr>
        <w:t>气阴两虚证</w:t>
      </w:r>
      <w:r>
        <w:rPr>
          <w:rFonts w:ascii="仿宋_GB2312" w:hAnsi="仿宋_GB2312" w:cs="仿宋_GB2312"/>
          <w:color w:val="000000"/>
          <w:kern w:val="0"/>
          <w:szCs w:val="32"/>
        </w:rPr>
        <w:t>。</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治法：益气养阴，复脉安神</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推荐方药：炙甘草汤加减。</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color w:val="000000"/>
          <w:kern w:val="0"/>
          <w:szCs w:val="32"/>
        </w:rPr>
        <w:t>2.</w:t>
      </w:r>
      <w:r>
        <w:rPr>
          <w:rFonts w:ascii="仿宋_GB2312" w:hAnsi="仿宋_GB2312" w:cs="仿宋_GB2312" w:hint="eastAsia"/>
          <w:color w:val="000000"/>
          <w:kern w:val="0"/>
          <w:szCs w:val="32"/>
        </w:rPr>
        <w:t>心虚胆怯证</w:t>
      </w:r>
      <w:r>
        <w:rPr>
          <w:rFonts w:ascii="仿宋_GB2312" w:hAnsi="仿宋_GB2312" w:cs="仿宋_GB2312"/>
          <w:color w:val="000000"/>
          <w:kern w:val="0"/>
          <w:szCs w:val="32"/>
        </w:rPr>
        <w:t>。</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治法：益气养心，安神定悸</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推荐方药：安神定志丸加减。</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color w:val="000000"/>
          <w:kern w:val="0"/>
          <w:szCs w:val="32"/>
        </w:rPr>
        <w:t>3.</w:t>
      </w:r>
      <w:r>
        <w:rPr>
          <w:rFonts w:ascii="仿宋_GB2312" w:hAnsi="仿宋_GB2312" w:cs="仿宋_GB2312" w:hint="eastAsia"/>
          <w:color w:val="000000"/>
          <w:kern w:val="0"/>
          <w:szCs w:val="32"/>
        </w:rPr>
        <w:t>痰热内扰证</w:t>
      </w:r>
      <w:r>
        <w:rPr>
          <w:rFonts w:ascii="仿宋_GB2312" w:hAnsi="仿宋_GB2312" w:cs="仿宋_GB2312"/>
          <w:color w:val="000000"/>
          <w:kern w:val="0"/>
          <w:szCs w:val="32"/>
        </w:rPr>
        <w:t>。</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治法：清热化痰，宁心安神</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推荐方药：黄连温胆汤加减。</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color w:val="000000"/>
          <w:kern w:val="0"/>
          <w:szCs w:val="32"/>
        </w:rPr>
        <w:t>4.</w:t>
      </w:r>
      <w:r>
        <w:rPr>
          <w:rFonts w:ascii="仿宋_GB2312" w:hAnsi="仿宋_GB2312" w:cs="仿宋_GB2312" w:hint="eastAsia"/>
          <w:color w:val="000000"/>
          <w:kern w:val="0"/>
          <w:szCs w:val="32"/>
        </w:rPr>
        <w:t>气虚血瘀证</w:t>
      </w:r>
      <w:r>
        <w:rPr>
          <w:rFonts w:ascii="仿宋_GB2312" w:hAnsi="仿宋_GB2312" w:cs="仿宋_GB2312"/>
          <w:color w:val="000000"/>
          <w:kern w:val="0"/>
          <w:szCs w:val="32"/>
        </w:rPr>
        <w:t>。</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治法：益气活血，养心安神</w:t>
      </w:r>
    </w:p>
    <w:p w:rsidR="00654FAD" w:rsidRDefault="002B56DA">
      <w:pPr>
        <w:autoSpaceDE w:val="0"/>
        <w:autoSpaceDN w:val="0"/>
        <w:adjustRightInd w:val="0"/>
        <w:snapToGrid w:val="0"/>
        <w:spacing w:line="360" w:lineRule="auto"/>
        <w:ind w:firstLineChars="200" w:firstLine="640"/>
        <w:rPr>
          <w:rFonts w:ascii="仿宋_GB2312" w:hAnsi="仿宋_GB2312" w:cs="仿宋_GB2312"/>
          <w:color w:val="000000"/>
          <w:kern w:val="0"/>
          <w:szCs w:val="32"/>
        </w:rPr>
      </w:pPr>
      <w:r>
        <w:rPr>
          <w:rFonts w:ascii="仿宋_GB2312" w:hAnsi="仿宋_GB2312" w:cs="仿宋_GB2312" w:hint="eastAsia"/>
          <w:color w:val="000000"/>
          <w:kern w:val="0"/>
          <w:szCs w:val="32"/>
        </w:rPr>
        <w:t>推荐方药：补阳还五汤加减。</w:t>
      </w:r>
    </w:p>
    <w:p w:rsidR="00654FAD" w:rsidRDefault="002B56DA">
      <w:pPr>
        <w:autoSpaceDE w:val="0"/>
        <w:autoSpaceDN w:val="0"/>
        <w:adjustRightInd w:val="0"/>
        <w:snapToGrid w:val="0"/>
        <w:spacing w:line="360" w:lineRule="auto"/>
        <w:ind w:firstLineChars="200" w:firstLine="643"/>
        <w:rPr>
          <w:rFonts w:ascii="楷体_GB2312" w:eastAsia="楷体_GB2312" w:hAnsi="楷体_GB2312" w:cs="楷体_GB2312"/>
          <w:b/>
          <w:bCs/>
          <w:color w:val="000000"/>
          <w:kern w:val="0"/>
          <w:szCs w:val="32"/>
        </w:rPr>
      </w:pPr>
      <w:r>
        <w:rPr>
          <w:rFonts w:ascii="楷体_GB2312" w:eastAsia="楷体_GB2312" w:hAnsi="楷体_GB2312" w:cs="楷体_GB2312" w:hint="eastAsia"/>
          <w:b/>
          <w:bCs/>
          <w:color w:val="000000"/>
          <w:kern w:val="0"/>
          <w:szCs w:val="32"/>
        </w:rPr>
        <w:t>（二）针灸等中医特色疗法。</w:t>
      </w:r>
    </w:p>
    <w:p w:rsidR="00654FAD" w:rsidRDefault="002B56DA">
      <w:pPr>
        <w:autoSpaceDE w:val="0"/>
        <w:autoSpaceDN w:val="0"/>
        <w:adjustRightInd w:val="0"/>
        <w:snapToGrid w:val="0"/>
        <w:spacing w:line="360" w:lineRule="auto"/>
        <w:ind w:firstLineChars="200" w:firstLine="640"/>
        <w:rPr>
          <w:rFonts w:ascii="黑体" w:eastAsia="黑体" w:hAnsi="黑体"/>
          <w:color w:val="000000"/>
          <w:kern w:val="0"/>
          <w:szCs w:val="32"/>
        </w:rPr>
      </w:pPr>
      <w:r>
        <w:rPr>
          <w:rFonts w:ascii="黑体" w:eastAsia="黑体" w:hAnsi="黑体"/>
          <w:color w:val="000000"/>
          <w:kern w:val="0"/>
          <w:szCs w:val="32"/>
        </w:rPr>
        <w:t>七、</w:t>
      </w:r>
      <w:r>
        <w:rPr>
          <w:rFonts w:ascii="黑体" w:eastAsia="黑体" w:hAnsi="黑体" w:hint="eastAsia"/>
          <w:color w:val="000000"/>
          <w:kern w:val="0"/>
          <w:szCs w:val="32"/>
        </w:rPr>
        <w:t>房颤患者的全程管理</w:t>
      </w:r>
    </w:p>
    <w:p w:rsidR="00654FAD" w:rsidRDefault="002B56DA">
      <w:pPr>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房颤患者需要多学科合作的全程管理，涉及</w:t>
      </w:r>
      <w:r>
        <w:rPr>
          <w:rFonts w:ascii="仿宋_GB2312" w:hAnsi="Times New Roman"/>
          <w:color w:val="000000"/>
          <w:kern w:val="0"/>
          <w:szCs w:val="32"/>
        </w:rPr>
        <w:t>初步识别</w:t>
      </w:r>
      <w:r>
        <w:rPr>
          <w:rFonts w:ascii="仿宋_GB2312" w:hAnsi="宋体" w:hint="eastAsia"/>
          <w:color w:val="000000"/>
          <w:kern w:val="0"/>
          <w:szCs w:val="32"/>
        </w:rPr>
        <w:t>、门诊、住院、手术、随访、康复等多个环节，包括急诊救治、规范化抗凝、节律控制、心室率控制、合并症的诊疗、长期随访、生活方式干预、健康教育、患者自我管理等全程规范化管理。</w:t>
      </w:r>
    </w:p>
    <w:p w:rsidR="00654FAD" w:rsidRDefault="002B56DA">
      <w:pPr>
        <w:adjustRightInd w:val="0"/>
        <w:snapToGrid w:val="0"/>
        <w:spacing w:line="360" w:lineRule="auto"/>
        <w:ind w:firstLineChars="200" w:firstLine="643"/>
        <w:rPr>
          <w:rFonts w:ascii="仿宋_GB2312" w:hAnsi="宋体"/>
          <w:color w:val="000000"/>
          <w:kern w:val="0"/>
          <w:szCs w:val="32"/>
        </w:rPr>
      </w:pPr>
      <w:r>
        <w:rPr>
          <w:rFonts w:ascii="楷体_GB2312" w:eastAsia="楷体_GB2312" w:hAnsi="宋体" w:hint="eastAsia"/>
          <w:b/>
          <w:color w:val="000000"/>
          <w:kern w:val="0"/>
          <w:szCs w:val="32"/>
        </w:rPr>
        <w:t>（一）</w:t>
      </w:r>
      <w:r>
        <w:rPr>
          <w:rFonts w:ascii="楷体_GB2312" w:eastAsia="楷体_GB2312" w:hAnsi="宋体" w:hint="eastAsia"/>
          <w:b/>
          <w:bCs/>
          <w:color w:val="000000"/>
          <w:kern w:val="0"/>
          <w:szCs w:val="32"/>
        </w:rPr>
        <w:t>管理目的。</w:t>
      </w:r>
      <w:r>
        <w:rPr>
          <w:rFonts w:ascii="仿宋_GB2312" w:hAnsi="宋体" w:hint="eastAsia"/>
          <w:color w:val="000000"/>
          <w:kern w:val="0"/>
          <w:szCs w:val="32"/>
        </w:rPr>
        <w:t>控制房颤发作，预防并发症，提高生活质量，降低住院率及致残、致死率。</w:t>
      </w:r>
    </w:p>
    <w:p w:rsidR="00654FAD" w:rsidRDefault="002B56DA">
      <w:pPr>
        <w:autoSpaceDE w:val="0"/>
        <w:autoSpaceDN w:val="0"/>
        <w:adjustRightInd w:val="0"/>
        <w:snapToGrid w:val="0"/>
        <w:spacing w:line="360" w:lineRule="auto"/>
        <w:ind w:firstLineChars="200" w:firstLine="643"/>
        <w:rPr>
          <w:rFonts w:ascii="楷体_GB2312" w:eastAsia="楷体_GB2312" w:hAnsi="宋体"/>
          <w:color w:val="000000"/>
          <w:kern w:val="0"/>
          <w:szCs w:val="32"/>
        </w:rPr>
      </w:pPr>
      <w:r>
        <w:rPr>
          <w:rFonts w:ascii="楷体_GB2312" w:eastAsia="楷体_GB2312" w:hAnsi="宋体" w:hint="eastAsia"/>
          <w:b/>
          <w:bCs/>
          <w:color w:val="000000"/>
          <w:kern w:val="0"/>
          <w:szCs w:val="32"/>
        </w:rPr>
        <w:t>（二）患者管理。</w:t>
      </w:r>
    </w:p>
    <w:p w:rsidR="00654FAD" w:rsidRDefault="002B56DA">
      <w:pPr>
        <w:autoSpaceDE w:val="0"/>
        <w:autoSpaceDN w:val="0"/>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1.成立房颤管理团队：由心内科、心外科、神经内科、神经外科、老年病科、内分泌科、急诊科、康复科、影像科、介入科</w:t>
      </w:r>
      <w:r>
        <w:rPr>
          <w:rFonts w:ascii="仿宋_GB2312" w:hAnsi="宋体"/>
          <w:color w:val="000000"/>
          <w:kern w:val="0"/>
          <w:szCs w:val="32"/>
        </w:rPr>
        <w:t>、</w:t>
      </w:r>
      <w:r>
        <w:rPr>
          <w:rFonts w:ascii="仿宋_GB2312" w:hAnsi="宋体" w:hint="eastAsia"/>
          <w:color w:val="000000"/>
          <w:kern w:val="0"/>
          <w:szCs w:val="32"/>
        </w:rPr>
        <w:t>全科医生、护士、药师等组成，团队中应有中医类别医师。</w:t>
      </w:r>
    </w:p>
    <w:p w:rsidR="00654FAD" w:rsidRDefault="002B56DA">
      <w:pPr>
        <w:autoSpaceDE w:val="0"/>
        <w:autoSpaceDN w:val="0"/>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2.逐步建立房颤随访制度及医疗健康档案。有条件的医院可设立房颤专病门诊。</w:t>
      </w:r>
    </w:p>
    <w:p w:rsidR="00654FAD" w:rsidRDefault="002B56DA">
      <w:pPr>
        <w:autoSpaceDE w:val="0"/>
        <w:autoSpaceDN w:val="0"/>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3.根据患者病情制定出院计划和随访方案。随访安排流程见图5。药物治疗患者每月随访一次，手术患者根据手术类型定期随访。根据实际情况可采取门诊随访、社区上门随访、电话随访等方式。</w:t>
      </w:r>
    </w:p>
    <w:p w:rsidR="00654FAD" w:rsidRDefault="002B56DA">
      <w:pPr>
        <w:autoSpaceDE w:val="0"/>
        <w:autoSpaceDN w:val="0"/>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4.随访内容。</w:t>
      </w:r>
    </w:p>
    <w:p w:rsidR="00654FAD" w:rsidRDefault="002B56DA">
      <w:pPr>
        <w:autoSpaceDE w:val="0"/>
        <w:autoSpaceDN w:val="0"/>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（1）房颤发作频率；</w:t>
      </w:r>
    </w:p>
    <w:p w:rsidR="00654FAD" w:rsidRDefault="002B56DA">
      <w:pPr>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（2）是否规范化抗凝治疗；</w:t>
      </w:r>
    </w:p>
    <w:p w:rsidR="00654FAD" w:rsidRDefault="002B56DA">
      <w:pPr>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（3）药物/手术治疗安全性，有效性；</w:t>
      </w:r>
    </w:p>
    <w:p w:rsidR="00654FAD" w:rsidRDefault="002B56DA">
      <w:pPr>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（4）是否发生房颤相关心血管事件；</w:t>
      </w:r>
    </w:p>
    <w:p w:rsidR="00654FAD" w:rsidRDefault="002B56DA">
      <w:pPr>
        <w:adjustRightInd w:val="0"/>
        <w:snapToGrid w:val="0"/>
        <w:spacing w:line="360" w:lineRule="auto"/>
        <w:ind w:firstLineChars="200" w:firstLine="640"/>
        <w:rPr>
          <w:rFonts w:ascii="仿宋_GB2312" w:hAnsi="宋体"/>
          <w:color w:val="000000"/>
          <w:kern w:val="0"/>
          <w:szCs w:val="32"/>
        </w:rPr>
      </w:pPr>
      <w:r>
        <w:rPr>
          <w:rFonts w:ascii="仿宋_GB2312" w:hAnsi="宋体" w:hint="eastAsia"/>
          <w:color w:val="000000"/>
          <w:kern w:val="0"/>
          <w:szCs w:val="32"/>
        </w:rPr>
        <w:t>（5）接受中医药治疗的患者，评估其证候变化。</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5.患者教育及康复管理</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（1）提高患者的依从性和自我管理能力；</w:t>
      </w:r>
    </w:p>
    <w:p w:rsidR="00654FAD" w:rsidRDefault="002B56DA">
      <w:pPr>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（2）了解房颤的基础知识、血栓风险、抗凝出血风险、如何监测心率/心律和症状自我评估；保持健康生活方式，及时按照随访安排定期随访等；</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（3）对有并发症并致功能减弱或障碍者，应予康复管理，包括制定康复方案，康复教育及针对性康复训练；</w:t>
      </w:r>
    </w:p>
    <w:p w:rsidR="00654FAD" w:rsidRDefault="002B56DA">
      <w:pPr>
        <w:autoSpaceDE w:val="0"/>
        <w:autoSpaceDN w:val="0"/>
        <w:adjustRightInd w:val="0"/>
        <w:snapToGrid w:val="0"/>
        <w:spacing w:line="360" w:lineRule="auto"/>
        <w:ind w:firstLineChars="200" w:firstLine="640"/>
        <w:rPr>
          <w:rFonts w:ascii="仿宋_GB2312" w:hAnsi="Times New Roman"/>
          <w:bCs/>
          <w:color w:val="000000"/>
          <w:kern w:val="0"/>
          <w:szCs w:val="32"/>
        </w:rPr>
      </w:pPr>
      <w:r>
        <w:rPr>
          <w:rFonts w:ascii="仿宋_GB2312" w:hAnsi="Times New Roman" w:hint="eastAsia"/>
          <w:bCs/>
          <w:color w:val="000000"/>
          <w:kern w:val="0"/>
          <w:szCs w:val="32"/>
        </w:rPr>
        <w:t>（4）了解房颤中医药防治的基本知识。</w:t>
      </w:r>
    </w:p>
    <w:p w:rsidR="00654FAD" w:rsidRDefault="00654FAD">
      <w:pPr>
        <w:adjustRightInd w:val="0"/>
        <w:snapToGrid w:val="0"/>
        <w:spacing w:line="360" w:lineRule="auto"/>
        <w:ind w:firstLineChars="200" w:firstLine="640"/>
        <w:rPr>
          <w:rFonts w:ascii="仿宋_GB2312" w:hAnsi="Times New Roman"/>
          <w:color w:val="000000"/>
          <w:kern w:val="0"/>
          <w:szCs w:val="32"/>
        </w:rPr>
      </w:pPr>
    </w:p>
    <w:p w:rsidR="00654FAD" w:rsidRDefault="002B56DA">
      <w:pPr>
        <w:autoSpaceDE w:val="0"/>
        <w:autoSpaceDN w:val="0"/>
        <w:adjustRightInd w:val="0"/>
        <w:spacing w:line="360" w:lineRule="auto"/>
        <w:jc w:val="center"/>
        <w:rPr>
          <w:rFonts w:ascii="Times New Roman" w:eastAsia="黑体" w:hAnsi="Times New Roman"/>
          <w:color w:val="000000"/>
          <w:kern w:val="0"/>
          <w:sz w:val="24"/>
        </w:rPr>
      </w:pPr>
      <w:r>
        <w:rPr>
          <w:rFonts w:ascii="Times New Roman" w:hAnsi="Times New Roman"/>
          <w:noProof/>
          <w:kern w:val="0"/>
          <w:sz w:val="24"/>
        </w:rPr>
        <w:drawing>
          <wp:inline distT="0" distB="0" distL="114300" distR="114300">
            <wp:extent cx="5274945" cy="5100320"/>
            <wp:effectExtent l="0" t="0" r="190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945" cy="5100320"/>
                    </a:xfrm>
                    <a:prstGeom prst="rect">
                      <a:avLst/>
                    </a:prstGeom>
                    <a:noFill/>
                    <a:ln w="9525">
                      <a:noFill/>
                      <a:miter/>
                    </a:ln>
                  </pic:spPr>
                </pic:pic>
              </a:graphicData>
            </a:graphic>
          </wp:inline>
        </w:drawing>
      </w:r>
    </w:p>
    <w:p w:rsidR="00654FAD" w:rsidRDefault="002B56DA">
      <w:pPr>
        <w:spacing w:beforeLines="30" w:before="93" w:line="360" w:lineRule="auto"/>
        <w:jc w:val="center"/>
        <w:rPr>
          <w:rFonts w:ascii="仿宋_GB2312" w:hAnsi="宋体"/>
          <w:color w:val="000000"/>
          <w:kern w:val="0"/>
          <w:szCs w:val="32"/>
        </w:rPr>
      </w:pPr>
      <w:r>
        <w:rPr>
          <w:rFonts w:ascii="仿宋_GB2312" w:hAnsi="宋体" w:hint="eastAsia"/>
          <w:color w:val="000000"/>
          <w:kern w:val="0"/>
          <w:szCs w:val="32"/>
        </w:rPr>
        <w:t>图5.房颤患者随访流程</w:t>
      </w:r>
    </w:p>
    <w:p w:rsidR="00654FAD" w:rsidRDefault="00654FAD">
      <w:pPr>
        <w:autoSpaceDE w:val="0"/>
        <w:autoSpaceDN w:val="0"/>
        <w:adjustRightInd w:val="0"/>
        <w:snapToGrid w:val="0"/>
        <w:spacing w:line="360" w:lineRule="auto"/>
        <w:ind w:firstLineChars="200" w:firstLine="643"/>
        <w:rPr>
          <w:rFonts w:ascii="仿宋_GB2312" w:hAnsi="Times New Roman"/>
          <w:b/>
          <w:color w:val="000000"/>
          <w:kern w:val="0"/>
          <w:szCs w:val="32"/>
        </w:rPr>
      </w:pPr>
    </w:p>
    <w:p w:rsidR="00654FAD" w:rsidRDefault="002B56DA">
      <w:pPr>
        <w:autoSpaceDE w:val="0"/>
        <w:autoSpaceDN w:val="0"/>
        <w:adjustRightInd w:val="0"/>
        <w:snapToGrid w:val="0"/>
        <w:spacing w:line="360" w:lineRule="auto"/>
        <w:ind w:firstLineChars="200" w:firstLine="640"/>
        <w:rPr>
          <w:rFonts w:ascii="仿宋_GB2312" w:hAnsi="Times New Roman"/>
          <w:bCs/>
          <w:color w:val="000000"/>
          <w:kern w:val="0"/>
          <w:szCs w:val="32"/>
        </w:rPr>
      </w:pPr>
      <w:r>
        <w:rPr>
          <w:rFonts w:ascii="仿宋_GB2312" w:hAnsi="Times New Roman" w:hint="eastAsia"/>
          <w:bCs/>
          <w:color w:val="000000"/>
          <w:kern w:val="0"/>
          <w:szCs w:val="32"/>
        </w:rPr>
        <w:t>6.中医健康管理</w:t>
      </w:r>
    </w:p>
    <w:p w:rsidR="00654FAD" w:rsidRDefault="002B56DA">
      <w:pPr>
        <w:autoSpaceDE w:val="0"/>
        <w:autoSpaceDN w:val="0"/>
        <w:adjustRightInd w:val="0"/>
        <w:snapToGrid w:val="0"/>
        <w:spacing w:line="360" w:lineRule="auto"/>
        <w:ind w:firstLineChars="200" w:firstLine="640"/>
        <w:rPr>
          <w:rFonts w:ascii="仿宋_GB2312" w:hAnsi="Times New Roman"/>
          <w:bCs/>
          <w:color w:val="000000"/>
          <w:kern w:val="0"/>
          <w:szCs w:val="32"/>
        </w:rPr>
      </w:pPr>
      <w:r>
        <w:rPr>
          <w:rFonts w:ascii="仿宋_GB2312" w:hAnsi="Times New Roman" w:hint="eastAsia"/>
          <w:bCs/>
          <w:color w:val="000000"/>
          <w:kern w:val="0"/>
          <w:szCs w:val="32"/>
        </w:rPr>
        <w:t>（1）中医健康状态评估、体质辨识或辨证；</w:t>
      </w:r>
    </w:p>
    <w:p w:rsidR="00654FAD" w:rsidRDefault="002B56DA">
      <w:pPr>
        <w:autoSpaceDE w:val="0"/>
        <w:autoSpaceDN w:val="0"/>
        <w:adjustRightInd w:val="0"/>
        <w:snapToGrid w:val="0"/>
        <w:spacing w:line="360" w:lineRule="auto"/>
        <w:ind w:firstLineChars="200" w:firstLine="640"/>
        <w:rPr>
          <w:rFonts w:ascii="仿宋_GB2312" w:hAnsi="Times New Roman"/>
          <w:bCs/>
          <w:color w:val="000000"/>
          <w:kern w:val="0"/>
          <w:szCs w:val="32"/>
        </w:rPr>
      </w:pPr>
      <w:r>
        <w:rPr>
          <w:rFonts w:ascii="仿宋_GB2312" w:hAnsi="Times New Roman" w:hint="eastAsia"/>
          <w:bCs/>
          <w:color w:val="000000"/>
          <w:kern w:val="0"/>
          <w:szCs w:val="32"/>
        </w:rPr>
        <w:t>（2）运动调养：指导患者选择个性化运动方式（如导引、太极拳、八段锦、五禽戏等），合理控制运动量、运动时间和运动频率；</w:t>
      </w:r>
    </w:p>
    <w:p w:rsidR="00654FAD" w:rsidRDefault="002B56DA">
      <w:pPr>
        <w:autoSpaceDE w:val="0"/>
        <w:autoSpaceDN w:val="0"/>
        <w:adjustRightInd w:val="0"/>
        <w:snapToGrid w:val="0"/>
        <w:spacing w:line="360" w:lineRule="auto"/>
        <w:ind w:firstLineChars="200" w:firstLine="640"/>
        <w:rPr>
          <w:rFonts w:ascii="仿宋_GB2312" w:hAnsi="Times New Roman"/>
          <w:bCs/>
          <w:color w:val="000000"/>
          <w:kern w:val="0"/>
          <w:szCs w:val="32"/>
        </w:rPr>
      </w:pPr>
      <w:r>
        <w:rPr>
          <w:rFonts w:ascii="仿宋_GB2312" w:hAnsi="Times New Roman" w:hint="eastAsia"/>
          <w:bCs/>
          <w:color w:val="000000"/>
          <w:kern w:val="0"/>
          <w:szCs w:val="32"/>
        </w:rPr>
        <w:t>（3）生活指导：慎起居、适寒温、节饮食、勿过劳；</w:t>
      </w:r>
    </w:p>
    <w:p w:rsidR="00654FAD" w:rsidRDefault="002B56DA">
      <w:pPr>
        <w:autoSpaceDE w:val="0"/>
        <w:autoSpaceDN w:val="0"/>
        <w:adjustRightInd w:val="0"/>
        <w:snapToGrid w:val="0"/>
        <w:spacing w:line="360" w:lineRule="auto"/>
        <w:ind w:firstLineChars="200" w:firstLine="640"/>
        <w:rPr>
          <w:rFonts w:ascii="仿宋_GB2312" w:hAnsi="Times New Roman"/>
          <w:bCs/>
          <w:color w:val="000000"/>
          <w:kern w:val="0"/>
          <w:szCs w:val="32"/>
        </w:rPr>
      </w:pPr>
      <w:r>
        <w:rPr>
          <w:rFonts w:ascii="仿宋_GB2312" w:hAnsi="Times New Roman" w:hint="eastAsia"/>
          <w:bCs/>
          <w:color w:val="000000"/>
          <w:kern w:val="0"/>
          <w:szCs w:val="32"/>
        </w:rPr>
        <w:t>（4）辨证施膳：根据证候分型、体质辨识和食物性味归经等综合评估给予膳食指导；</w:t>
      </w:r>
    </w:p>
    <w:p w:rsidR="00654FAD" w:rsidRDefault="002B56DA">
      <w:pPr>
        <w:autoSpaceDE w:val="0"/>
        <w:autoSpaceDN w:val="0"/>
        <w:adjustRightInd w:val="0"/>
        <w:snapToGrid w:val="0"/>
        <w:spacing w:line="360" w:lineRule="auto"/>
        <w:ind w:firstLineChars="200" w:firstLine="640"/>
        <w:rPr>
          <w:rFonts w:ascii="仿宋_GB2312" w:hAnsi="Times New Roman"/>
          <w:bCs/>
          <w:color w:val="000000"/>
          <w:kern w:val="0"/>
          <w:szCs w:val="32"/>
        </w:rPr>
      </w:pPr>
      <w:r>
        <w:rPr>
          <w:rFonts w:ascii="仿宋_GB2312" w:hAnsi="Times New Roman" w:hint="eastAsia"/>
          <w:bCs/>
          <w:color w:val="000000"/>
          <w:kern w:val="0"/>
          <w:szCs w:val="32"/>
        </w:rPr>
        <w:t>（5）情志调理。</w:t>
      </w:r>
    </w:p>
    <w:p w:rsidR="00654FAD" w:rsidRDefault="002B56DA">
      <w:pPr>
        <w:autoSpaceDE w:val="0"/>
        <w:autoSpaceDN w:val="0"/>
        <w:adjustRightInd w:val="0"/>
        <w:snapToGrid w:val="0"/>
        <w:spacing w:line="360" w:lineRule="auto"/>
        <w:ind w:firstLineChars="200" w:firstLine="640"/>
        <w:rPr>
          <w:rFonts w:ascii="黑体" w:eastAsia="黑体" w:hAnsi="黑体"/>
          <w:color w:val="000000"/>
          <w:kern w:val="0"/>
          <w:szCs w:val="32"/>
        </w:rPr>
      </w:pPr>
      <w:r>
        <w:rPr>
          <w:rFonts w:ascii="黑体" w:eastAsia="黑体" w:hAnsi="黑体"/>
          <w:color w:val="000000"/>
          <w:kern w:val="0"/>
          <w:szCs w:val="32"/>
        </w:rPr>
        <w:t>八</w:t>
      </w:r>
      <w:r>
        <w:rPr>
          <w:rFonts w:ascii="黑体" w:eastAsia="黑体" w:hAnsi="黑体" w:hint="eastAsia"/>
          <w:color w:val="000000"/>
          <w:kern w:val="0"/>
          <w:szCs w:val="32"/>
        </w:rPr>
        <w:t>、房颤患者管理质控指标</w:t>
      </w:r>
    </w:p>
    <w:p w:rsidR="00654FAD" w:rsidRDefault="002B56DA">
      <w:pPr>
        <w:autoSpaceDE w:val="0"/>
        <w:autoSpaceDN w:val="0"/>
        <w:adjustRightInd w:val="0"/>
        <w:snapToGrid w:val="0"/>
        <w:spacing w:line="360" w:lineRule="auto"/>
        <w:ind w:firstLineChars="200" w:firstLine="643"/>
        <w:rPr>
          <w:rFonts w:ascii="楷体_GB2312" w:eastAsia="楷体_GB2312" w:hAnsi="Times New Roman"/>
          <w:color w:val="000000"/>
          <w:kern w:val="0"/>
          <w:szCs w:val="32"/>
        </w:rPr>
      </w:pPr>
      <w:r>
        <w:rPr>
          <w:rFonts w:ascii="楷体_GB2312" w:eastAsia="楷体_GB2312" w:hAnsi="Times New Roman" w:hint="eastAsia"/>
          <w:b/>
          <w:bCs/>
          <w:color w:val="000000"/>
          <w:kern w:val="0"/>
          <w:szCs w:val="32"/>
        </w:rPr>
        <w:t>（一）二级以上医院房颤患者管理质控指标。</w:t>
      </w:r>
    </w:p>
    <w:p w:rsidR="00654FAD" w:rsidRDefault="002B56DA">
      <w:pPr>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1.抗凝适应证患者规范抗凝率。</w:t>
      </w:r>
    </w:p>
    <w:p w:rsidR="00654FAD" w:rsidRDefault="002B56DA">
      <w:pPr>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2.随访计划及定期随访率。</w:t>
      </w:r>
    </w:p>
    <w:p w:rsidR="00654FAD" w:rsidRDefault="002B56DA">
      <w:pPr>
        <w:adjustRightInd w:val="0"/>
        <w:snapToGrid w:val="0"/>
        <w:spacing w:line="360" w:lineRule="auto"/>
        <w:ind w:firstLineChars="200" w:firstLine="640"/>
        <w:rPr>
          <w:rFonts w:ascii="仿宋_GB2312" w:hAnsi="Times New Roman"/>
          <w:color w:val="000000"/>
          <w:kern w:val="0"/>
          <w:szCs w:val="32"/>
        </w:rPr>
      </w:pPr>
      <w:r>
        <w:rPr>
          <w:rFonts w:ascii="仿宋_GB2312" w:hAnsi="Times New Roman" w:hint="eastAsia"/>
          <w:color w:val="000000"/>
          <w:kern w:val="0"/>
          <w:szCs w:val="32"/>
        </w:rPr>
        <w:t>3</w:t>
      </w:r>
      <w:r>
        <w:rPr>
          <w:rFonts w:ascii="仿宋_GB2312" w:hAnsi="Times New Roman"/>
          <w:color w:val="000000"/>
          <w:kern w:val="0"/>
          <w:szCs w:val="32"/>
        </w:rPr>
        <w:t>.</w:t>
      </w:r>
      <w:r>
        <w:rPr>
          <w:rFonts w:ascii="仿宋_GB2312" w:hAnsi="Times New Roman" w:hint="eastAsia"/>
          <w:color w:val="000000"/>
          <w:kern w:val="0"/>
          <w:szCs w:val="32"/>
        </w:rPr>
        <w:t>手术病人的成功率及事件发生率。</w:t>
      </w:r>
    </w:p>
    <w:p w:rsidR="00654FAD" w:rsidRDefault="002B56DA">
      <w:pPr>
        <w:autoSpaceDE w:val="0"/>
        <w:autoSpaceDN w:val="0"/>
        <w:adjustRightInd w:val="0"/>
        <w:snapToGrid w:val="0"/>
        <w:spacing w:line="360" w:lineRule="auto"/>
        <w:ind w:firstLineChars="200" w:firstLine="643"/>
        <w:rPr>
          <w:rFonts w:ascii="楷体_GB2312" w:eastAsia="楷体_GB2312" w:hAnsi="Times New Roman"/>
          <w:color w:val="000000"/>
          <w:kern w:val="0"/>
          <w:szCs w:val="32"/>
        </w:rPr>
      </w:pPr>
      <w:r>
        <w:rPr>
          <w:rFonts w:ascii="楷体_GB2312" w:eastAsia="楷体_GB2312" w:hAnsi="Times New Roman" w:hint="eastAsia"/>
          <w:b/>
          <w:bCs/>
          <w:color w:val="000000"/>
          <w:kern w:val="0"/>
          <w:szCs w:val="32"/>
        </w:rPr>
        <w:t>（二）基层医疗卫生机构房颤患者管理质控指标。</w:t>
      </w:r>
    </w:p>
    <w:p w:rsidR="00654FAD" w:rsidRDefault="002B56DA">
      <w:pPr>
        <w:autoSpaceDE w:val="0"/>
        <w:autoSpaceDN w:val="0"/>
        <w:adjustRightInd w:val="0"/>
        <w:snapToGrid w:val="0"/>
        <w:spacing w:line="360" w:lineRule="auto"/>
        <w:ind w:firstLineChars="200" w:firstLine="640"/>
        <w:rPr>
          <w:rFonts w:ascii="仿宋_GB2312" w:hAnsi="Times New Roman"/>
          <w:color w:val="000000"/>
          <w:kern w:val="0"/>
          <w:szCs w:val="32"/>
        </w:rPr>
      </w:pPr>
      <w:r>
        <w:rPr>
          <w:rFonts w:ascii="仿宋_GB2312" w:hAnsi="Times New Roman"/>
          <w:color w:val="000000"/>
          <w:kern w:val="0"/>
          <w:szCs w:val="32"/>
        </w:rPr>
        <w:t>1</w:t>
      </w:r>
      <w:r>
        <w:rPr>
          <w:rFonts w:ascii="仿宋_GB2312" w:hAnsi="Times New Roman" w:hint="eastAsia"/>
          <w:color w:val="000000"/>
          <w:kern w:val="0"/>
          <w:szCs w:val="32"/>
        </w:rPr>
        <w:t>.房颤患者自我管理宣教率。</w:t>
      </w:r>
    </w:p>
    <w:p w:rsidR="00654FAD" w:rsidRDefault="002B56DA">
      <w:pPr>
        <w:adjustRightInd w:val="0"/>
        <w:snapToGrid w:val="0"/>
        <w:spacing w:line="360" w:lineRule="auto"/>
        <w:ind w:firstLineChars="200" w:firstLine="640"/>
        <w:rPr>
          <w:rFonts w:ascii="仿宋_GB2312" w:hAnsi="Times New Roman"/>
          <w:color w:val="000000"/>
          <w:kern w:val="0"/>
          <w:szCs w:val="32"/>
        </w:rPr>
      </w:pPr>
      <w:r>
        <w:rPr>
          <w:rFonts w:ascii="仿宋_GB2312" w:hAnsi="Times New Roman"/>
          <w:color w:val="000000"/>
          <w:kern w:val="0"/>
          <w:szCs w:val="32"/>
        </w:rPr>
        <w:t>2</w:t>
      </w:r>
      <w:r>
        <w:rPr>
          <w:rFonts w:ascii="仿宋_GB2312" w:hAnsi="Times New Roman" w:hint="eastAsia"/>
          <w:color w:val="000000"/>
          <w:kern w:val="0"/>
          <w:szCs w:val="32"/>
        </w:rPr>
        <w:t>.疑似及高危房颤患者的转出</w:t>
      </w:r>
      <w:r>
        <w:rPr>
          <w:rFonts w:ascii="仿宋_GB2312" w:hAnsi="Times New Roman"/>
          <w:color w:val="000000"/>
          <w:kern w:val="0"/>
          <w:szCs w:val="32"/>
        </w:rPr>
        <w:t>人数</w:t>
      </w:r>
      <w:r>
        <w:rPr>
          <w:rFonts w:ascii="仿宋_GB2312" w:hAnsi="Times New Roman" w:hint="eastAsia"/>
          <w:color w:val="000000"/>
          <w:kern w:val="0"/>
          <w:szCs w:val="32"/>
        </w:rPr>
        <w:t>。</w:t>
      </w:r>
    </w:p>
    <w:p w:rsidR="00654FAD" w:rsidRDefault="002B56DA">
      <w:pPr>
        <w:adjustRightInd w:val="0"/>
        <w:snapToGrid w:val="0"/>
        <w:spacing w:line="360" w:lineRule="auto"/>
        <w:ind w:firstLineChars="200" w:firstLine="640"/>
        <w:rPr>
          <w:rFonts w:ascii="仿宋_GB2312" w:hAnsi="Times New Roman"/>
          <w:szCs w:val="32"/>
        </w:rPr>
      </w:pPr>
      <w:r>
        <w:rPr>
          <w:rFonts w:ascii="仿宋_GB2312" w:hAnsi="Times New Roman"/>
          <w:szCs w:val="32"/>
        </w:rPr>
        <w:t>3</w:t>
      </w:r>
      <w:r>
        <w:rPr>
          <w:rFonts w:ascii="仿宋_GB2312" w:hAnsi="Times New Roman" w:hint="eastAsia"/>
          <w:szCs w:val="32"/>
        </w:rPr>
        <w:t>.稳定期房颤患者随访及康复治疗率。</w:t>
      </w:r>
    </w:p>
    <w:p w:rsidR="00654FAD" w:rsidRDefault="002B56DA">
      <w:pPr>
        <w:adjustRightInd w:val="0"/>
        <w:snapToGrid w:val="0"/>
        <w:spacing w:line="360" w:lineRule="auto"/>
        <w:ind w:firstLineChars="200" w:firstLine="640"/>
        <w:rPr>
          <w:rFonts w:ascii="仿宋_GB2312" w:hAnsi="Times New Roman"/>
          <w:szCs w:val="32"/>
        </w:rPr>
      </w:pPr>
      <w:r>
        <w:rPr>
          <w:rFonts w:ascii="仿宋_GB2312" w:hAnsi="Times New Roman"/>
          <w:szCs w:val="32"/>
        </w:rPr>
        <w:t>4</w:t>
      </w:r>
      <w:r>
        <w:rPr>
          <w:rFonts w:ascii="仿宋_GB2312" w:hAnsi="Times New Roman" w:hint="eastAsia"/>
          <w:szCs w:val="32"/>
        </w:rPr>
        <w:t>.房颤患者中医药防治知识知晓率。</w:t>
      </w:r>
    </w:p>
    <w:p w:rsidR="00654FAD" w:rsidRDefault="00654FAD"/>
    <w:sectPr w:rsidR="00654F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7CC" w:rsidRDefault="00B627CC" w:rsidP="000C5874">
      <w:r>
        <w:separator/>
      </w:r>
    </w:p>
  </w:endnote>
  <w:endnote w:type="continuationSeparator" w:id="0">
    <w:p w:rsidR="00B627CC" w:rsidRDefault="00B627CC" w:rsidP="000C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FZSSK--GBK1-0">
    <w:altName w:val="宋体"/>
    <w:charset w:val="86"/>
    <w:family w:val="auto"/>
    <w:pitch w:val="default"/>
    <w:sig w:usb0="00000000" w:usb1="00000000" w:usb2="00000010" w:usb3="00000000" w:csb0="00040000" w:csb1="00000000"/>
  </w:font>
  <w:font w:name="FZHTK--GBK1-0">
    <w:altName w:val="宋体"/>
    <w:charset w:val="86"/>
    <w:family w:val="auto"/>
    <w:pitch w:val="default"/>
    <w:sig w:usb0="00000000" w:usb1="00000000" w:usb2="00000010" w:usb3="00000000" w:csb0="00040000" w:csb1="00000000"/>
  </w:font>
  <w:font w:name="E-HZ">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7CC" w:rsidRDefault="00B627CC" w:rsidP="000C5874">
      <w:r>
        <w:separator/>
      </w:r>
    </w:p>
  </w:footnote>
  <w:footnote w:type="continuationSeparator" w:id="0">
    <w:p w:rsidR="00B627CC" w:rsidRDefault="00B627CC" w:rsidP="000C58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3953D3"/>
    <w:rsid w:val="000C5874"/>
    <w:rsid w:val="002B56DA"/>
    <w:rsid w:val="00654FAD"/>
    <w:rsid w:val="00B627CC"/>
    <w:rsid w:val="39395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749A4DA-227B-4929-BC93-623B34185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C58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C5874"/>
    <w:rPr>
      <w:rFonts w:eastAsia="仿宋_GB2312"/>
      <w:kern w:val="2"/>
      <w:sz w:val="18"/>
      <w:szCs w:val="18"/>
    </w:rPr>
  </w:style>
  <w:style w:type="paragraph" w:styleId="a4">
    <w:name w:val="footer"/>
    <w:basedOn w:val="a"/>
    <w:link w:val="Char0"/>
    <w:rsid w:val="000C5874"/>
    <w:pPr>
      <w:tabs>
        <w:tab w:val="center" w:pos="4153"/>
        <w:tab w:val="right" w:pos="8306"/>
      </w:tabs>
      <w:snapToGrid w:val="0"/>
      <w:jc w:val="left"/>
    </w:pPr>
    <w:rPr>
      <w:sz w:val="18"/>
      <w:szCs w:val="18"/>
    </w:rPr>
  </w:style>
  <w:style w:type="character" w:customStyle="1" w:styleId="Char0">
    <w:name w:val="页脚 Char"/>
    <w:basedOn w:val="a0"/>
    <w:link w:val="a4"/>
    <w:rsid w:val="000C5874"/>
    <w:rPr>
      <w:rFonts w:eastAsia="仿宋_GB231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986</Words>
  <Characters>5626</Characters>
  <Application>Microsoft Office Word</Application>
  <DocSecurity>0</DocSecurity>
  <Lines>46</Lines>
  <Paragraphs>13</Paragraphs>
  <ScaleCrop>false</ScaleCrop>
  <Company/>
  <LinksUpToDate>false</LinksUpToDate>
  <CharactersWithSpaces>6599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788796544RFGHBHNNNNN</cp:lastModifiedBy>
  <cp:revision>3</cp:revision>
  <dcterms:created xsi:type="dcterms:W3CDTF">2019-09-10T03:29:00Z</dcterms:created>
  <dcterms:modified xsi:type="dcterms:W3CDTF">2019-09-10T09:53:00Z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